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30" w:rsidRDefault="00A20230" w:rsidP="00B37E35">
      <w:pPr>
        <w:rPr>
          <w:rFonts w:ascii="Arial" w:hAnsi="Arial" w:cs="Arial"/>
        </w:rPr>
      </w:pPr>
    </w:p>
    <w:p w:rsidR="00A20230" w:rsidRPr="00C22CCC" w:rsidRDefault="00A20230" w:rsidP="00B37E35">
      <w:pPr>
        <w:rPr>
          <w:rFonts w:ascii="Arial" w:hAnsi="Arial" w:cs="Arial"/>
        </w:rPr>
      </w:pPr>
    </w:p>
    <w:p w:rsidR="00A20230" w:rsidRPr="00C22CCC" w:rsidRDefault="00A20230" w:rsidP="00F7574C">
      <w:pPr>
        <w:rPr>
          <w:rFonts w:ascii="Arial" w:hAnsi="Arial" w:cs="Arial"/>
        </w:rPr>
      </w:pPr>
      <w:r w:rsidRPr="00D86384">
        <w:rPr>
          <w:rFonts w:ascii="Arial" w:hAnsi="Arial" w:cs="Arial"/>
        </w:rPr>
        <w:t xml:space="preserve">For immediate release </w:t>
      </w:r>
      <w:r>
        <w:rPr>
          <w:rFonts w:ascii="Arial" w:hAnsi="Arial" w:cs="Arial"/>
        </w:rPr>
        <w:t>Wednesday 21 September 2011</w:t>
      </w:r>
    </w:p>
    <w:p w:rsidR="00A20230" w:rsidRDefault="00A20230" w:rsidP="00F7574C">
      <w:pPr>
        <w:rPr>
          <w:rFonts w:ascii="Arial" w:hAnsi="Arial" w:cs="Arial"/>
        </w:rPr>
      </w:pPr>
    </w:p>
    <w:p w:rsidR="00A20230" w:rsidRPr="00C22CCC" w:rsidRDefault="00A20230" w:rsidP="00F7574C">
      <w:pPr>
        <w:rPr>
          <w:rFonts w:ascii="Arial" w:hAnsi="Arial" w:cs="Arial"/>
        </w:rPr>
      </w:pPr>
    </w:p>
    <w:p w:rsidR="00A20230" w:rsidRDefault="00A20230" w:rsidP="00F7574C">
      <w:pPr>
        <w:ind w:right="-280"/>
        <w:jc w:val="center"/>
        <w:rPr>
          <w:rFonts w:ascii="Arial" w:hAnsi="Arial" w:cs="Arial"/>
          <w:b/>
          <w:bCs/>
          <w:color w:val="000000"/>
        </w:rPr>
      </w:pPr>
      <w:r>
        <w:rPr>
          <w:rFonts w:ascii="Arial" w:hAnsi="Arial" w:cs="Arial"/>
          <w:b/>
          <w:bCs/>
          <w:color w:val="000000"/>
        </w:rPr>
        <w:t>EXCHANGES EXPERIENCE BIGGEST SHARE VALUE SLIDE IN MORE THAN A YEAR</w:t>
      </w:r>
    </w:p>
    <w:p w:rsidR="00A20230" w:rsidRDefault="00A20230" w:rsidP="00F7574C">
      <w:pPr>
        <w:pStyle w:val="ListParagraph"/>
        <w:rPr>
          <w:rFonts w:ascii="Arial" w:hAnsi="Arial" w:cs="Arial"/>
          <w:color w:val="000000"/>
          <w:sz w:val="22"/>
        </w:rPr>
      </w:pPr>
    </w:p>
    <w:p w:rsidR="00A20230" w:rsidRDefault="00A20230" w:rsidP="00F7574C">
      <w:pPr>
        <w:pStyle w:val="ListParagraph"/>
        <w:numPr>
          <w:ilvl w:val="0"/>
          <w:numId w:val="5"/>
        </w:numPr>
        <w:rPr>
          <w:rFonts w:ascii="Arial" w:hAnsi="Arial" w:cs="Arial"/>
          <w:b/>
          <w:i/>
          <w:color w:val="000000"/>
          <w:sz w:val="22"/>
        </w:rPr>
      </w:pPr>
      <w:r>
        <w:rPr>
          <w:rFonts w:ascii="Arial" w:hAnsi="Arial" w:cs="Arial"/>
          <w:b/>
          <w:i/>
          <w:color w:val="000000"/>
          <w:sz w:val="22"/>
        </w:rPr>
        <w:t xml:space="preserve">FTSE Mondo Visione Exchanges </w:t>
      </w:r>
      <w:r w:rsidRPr="00763EB1">
        <w:rPr>
          <w:rFonts w:ascii="Arial" w:hAnsi="Arial" w:cs="Arial"/>
          <w:b/>
          <w:i/>
          <w:color w:val="000000"/>
          <w:sz w:val="22"/>
        </w:rPr>
        <w:t xml:space="preserve">Index </w:t>
      </w:r>
      <w:r>
        <w:rPr>
          <w:rFonts w:ascii="Arial" w:hAnsi="Arial" w:cs="Arial"/>
          <w:b/>
          <w:i/>
          <w:color w:val="000000"/>
          <w:sz w:val="22"/>
        </w:rPr>
        <w:t>dipped 8.9</w:t>
      </w:r>
      <w:r w:rsidRPr="00763EB1">
        <w:rPr>
          <w:rFonts w:ascii="Arial" w:hAnsi="Arial" w:cs="Arial"/>
          <w:b/>
          <w:i/>
          <w:color w:val="000000"/>
          <w:sz w:val="22"/>
        </w:rPr>
        <w:t xml:space="preserve"> per cent in </w:t>
      </w:r>
      <w:r>
        <w:rPr>
          <w:rFonts w:ascii="Arial" w:hAnsi="Arial" w:cs="Arial"/>
          <w:b/>
          <w:i/>
          <w:color w:val="000000"/>
          <w:sz w:val="22"/>
        </w:rPr>
        <w:t>August</w:t>
      </w:r>
    </w:p>
    <w:p w:rsidR="00A20230" w:rsidRPr="00B922FA" w:rsidRDefault="00A20230" w:rsidP="00F7574C">
      <w:pPr>
        <w:pStyle w:val="ListParagraph"/>
        <w:rPr>
          <w:rFonts w:ascii="Arial" w:hAnsi="Arial" w:cs="Arial"/>
          <w:color w:val="000000"/>
          <w:sz w:val="22"/>
        </w:rPr>
      </w:pPr>
    </w:p>
    <w:p w:rsidR="00A20230" w:rsidRPr="000A1C59" w:rsidRDefault="00A20230" w:rsidP="00F7574C">
      <w:pPr>
        <w:rPr>
          <w:rFonts w:ascii="Arial" w:hAnsi="Arial" w:cs="Arial"/>
          <w:color w:val="000000"/>
        </w:rPr>
      </w:pPr>
      <w:r>
        <w:rPr>
          <w:rFonts w:ascii="Arial" w:hAnsi="Arial" w:cs="Arial"/>
          <w:color w:val="000000"/>
        </w:rPr>
        <w:t xml:space="preserve">The world’s largest exchanges have not been insulated from the impact of the Europe debt crisis and the staggering equity markets, with almost 10 per cent wiped off the FTSE Mondo Visione Exchange Index in August.  </w:t>
      </w:r>
    </w:p>
    <w:p w:rsidR="00A20230" w:rsidRDefault="00A20230" w:rsidP="00F7574C">
      <w:pPr>
        <w:rPr>
          <w:rFonts w:ascii="Arial" w:hAnsi="Arial" w:cs="Arial"/>
          <w:color w:val="000000"/>
          <w:highlight w:val="yellow"/>
        </w:rPr>
      </w:pPr>
    </w:p>
    <w:p w:rsidR="00A20230" w:rsidRPr="00F15BD6" w:rsidRDefault="00A20230" w:rsidP="00F7574C">
      <w:pPr>
        <w:rPr>
          <w:rFonts w:ascii="Arial" w:hAnsi="Arial" w:cs="Arial"/>
          <w:color w:val="000000"/>
        </w:rPr>
      </w:pPr>
      <w:r w:rsidRPr="00F15BD6">
        <w:rPr>
          <w:rFonts w:ascii="Arial" w:hAnsi="Arial" w:cs="Arial"/>
          <w:color w:val="000000"/>
        </w:rPr>
        <w:t>The</w:t>
      </w:r>
      <w:r>
        <w:rPr>
          <w:rFonts w:ascii="Arial" w:hAnsi="Arial" w:cs="Arial"/>
          <w:color w:val="000000"/>
        </w:rPr>
        <w:t xml:space="preserve"> Index has experienced the biggest loss in over a year and has slipped down for the fourth consecutive month, with all listed exchanges feeling the pinch.</w:t>
      </w:r>
    </w:p>
    <w:p w:rsidR="00A20230" w:rsidRDefault="00A20230" w:rsidP="00F7574C">
      <w:pPr>
        <w:rPr>
          <w:rFonts w:ascii="Arial" w:hAnsi="Arial" w:cs="Arial"/>
          <w:color w:val="000000"/>
          <w:highlight w:val="yellow"/>
        </w:rPr>
      </w:pPr>
    </w:p>
    <w:p w:rsidR="00A20230" w:rsidRPr="00A373E2" w:rsidRDefault="00A20230" w:rsidP="00F7574C">
      <w:pPr>
        <w:rPr>
          <w:rFonts w:ascii="Arial" w:hAnsi="Arial" w:cs="Arial"/>
          <w:color w:val="000000"/>
        </w:rPr>
      </w:pPr>
      <w:r w:rsidRPr="00A373E2">
        <w:rPr>
          <w:rFonts w:ascii="Arial" w:hAnsi="Arial" w:cs="Arial"/>
          <w:color w:val="000000"/>
        </w:rPr>
        <w:t>Commenting on the Index which closed at 21,903.12 on 31 August 2011, Herbie Skeete, Managing Director, Mondo Visione and Co-founder of the Index said:</w:t>
      </w:r>
    </w:p>
    <w:p w:rsidR="00A20230" w:rsidRPr="00A373E2" w:rsidRDefault="00A20230" w:rsidP="006B3755">
      <w:pPr>
        <w:rPr>
          <w:rFonts w:ascii="Arial" w:hAnsi="Arial" w:cs="Arial"/>
          <w:color w:val="000000"/>
        </w:rPr>
      </w:pPr>
    </w:p>
    <w:p w:rsidR="00A20230" w:rsidRPr="00A373E2" w:rsidRDefault="00A20230" w:rsidP="00A373E2">
      <w:pPr>
        <w:ind w:left="567"/>
        <w:rPr>
          <w:rFonts w:ascii="Arial" w:hAnsi="Arial" w:cs="Arial"/>
        </w:rPr>
      </w:pPr>
      <w:r w:rsidRPr="00A373E2">
        <w:rPr>
          <w:rFonts w:ascii="Arial" w:hAnsi="Arial" w:cs="Arial"/>
          <w:color w:val="0000FF"/>
        </w:rPr>
        <w:t>"</w:t>
      </w:r>
      <w:r w:rsidRPr="00A373E2">
        <w:rPr>
          <w:rFonts w:ascii="Arial" w:hAnsi="Arial" w:cs="Arial"/>
          <w:color w:val="000000"/>
        </w:rPr>
        <w:t>BM&amp;F BOVESPA was boosted at month end from hopes of an interest rate cut in Brazil. The JSE cont</w:t>
      </w:r>
      <w:r>
        <w:rPr>
          <w:rFonts w:ascii="Arial" w:hAnsi="Arial" w:cs="Arial"/>
          <w:color w:val="000000"/>
        </w:rPr>
        <w:t>inues</w:t>
      </w:r>
      <w:r w:rsidRPr="00A373E2">
        <w:rPr>
          <w:rFonts w:ascii="Arial" w:hAnsi="Arial" w:cs="Arial"/>
          <w:color w:val="000000"/>
        </w:rPr>
        <w:t xml:space="preserve"> to be underpinned by the demand for metals</w:t>
      </w:r>
      <w:r>
        <w:rPr>
          <w:rFonts w:ascii="Arial" w:hAnsi="Arial" w:cs="Arial"/>
          <w:color w:val="000000"/>
        </w:rPr>
        <w:t xml:space="preserve"> which make mining stocks a buy.”</w:t>
      </w:r>
    </w:p>
    <w:p w:rsidR="00A20230" w:rsidRPr="00A373E2" w:rsidRDefault="00A20230" w:rsidP="006B3755">
      <w:pPr>
        <w:rPr>
          <w:rFonts w:ascii="Arial" w:hAnsi="Arial" w:cs="Arial"/>
          <w:color w:val="000000"/>
        </w:rPr>
      </w:pPr>
    </w:p>
    <w:p w:rsidR="00A20230" w:rsidRPr="00A373E2" w:rsidRDefault="00A20230" w:rsidP="00F7574C">
      <w:pPr>
        <w:rPr>
          <w:rFonts w:ascii="Arial" w:hAnsi="Arial" w:cs="Arial"/>
          <w:color w:val="000000"/>
        </w:rPr>
      </w:pPr>
      <w:r w:rsidRPr="00A373E2">
        <w:rPr>
          <w:rFonts w:ascii="Arial" w:hAnsi="Arial" w:cs="Arial"/>
          <w:color w:val="000000"/>
        </w:rPr>
        <w:t xml:space="preserve">The Index*, which aims to reflect market sentiment and is a key indicator of the exchanges’ performance, saw a 8.9 per cent decrease in August 2011. </w:t>
      </w:r>
    </w:p>
    <w:p w:rsidR="00A20230" w:rsidRPr="00A373E2" w:rsidRDefault="00A20230" w:rsidP="00F7574C">
      <w:pPr>
        <w:rPr>
          <w:rFonts w:ascii="Arial" w:hAnsi="Arial" w:cs="Arial"/>
          <w:color w:val="000000"/>
        </w:rPr>
      </w:pPr>
    </w:p>
    <w:p w:rsidR="00A20230" w:rsidRPr="00B922FA" w:rsidRDefault="00A20230" w:rsidP="00F7574C">
      <w:pPr>
        <w:rPr>
          <w:rFonts w:ascii="Arial" w:hAnsi="Arial" w:cs="Tahoma"/>
          <w:color w:val="000000"/>
          <w:szCs w:val="20"/>
        </w:rPr>
      </w:pPr>
      <w:r w:rsidRPr="00B922FA">
        <w:rPr>
          <w:rFonts w:ascii="Arial" w:hAnsi="Arial" w:cs="Arial"/>
          <w:color w:val="000000"/>
        </w:rPr>
        <w:t xml:space="preserve">The FTSE Mondo Visione Exchanges Index best performer by capital returns in US dollars was </w:t>
      </w:r>
      <w:r>
        <w:rPr>
          <w:rFonts w:ascii="Arial" w:hAnsi="Arial" w:cs="Arial"/>
          <w:color w:val="000000"/>
        </w:rPr>
        <w:t xml:space="preserve">BM&amp;F Bovespa with a 0.7 </w:t>
      </w:r>
      <w:r w:rsidRPr="00B922FA">
        <w:rPr>
          <w:rFonts w:ascii="Arial" w:hAnsi="Arial" w:cs="Arial"/>
          <w:color w:val="000000"/>
        </w:rPr>
        <w:t xml:space="preserve">per cent increase in share price from </w:t>
      </w:r>
      <w:r>
        <w:rPr>
          <w:rFonts w:ascii="Arial" w:hAnsi="Arial" w:cs="Arial"/>
          <w:color w:val="000000"/>
        </w:rPr>
        <w:t xml:space="preserve">29 July to 31 August </w:t>
      </w:r>
      <w:r w:rsidRPr="00B922FA">
        <w:rPr>
          <w:rFonts w:ascii="Arial" w:hAnsi="Arial" w:cs="Arial"/>
          <w:color w:val="000000"/>
        </w:rPr>
        <w:t xml:space="preserve">2011. </w:t>
      </w:r>
      <w:r>
        <w:rPr>
          <w:rFonts w:ascii="Arial" w:hAnsi="Arial" w:cs="Arial"/>
          <w:color w:val="000000"/>
        </w:rPr>
        <w:t>Th</w:t>
      </w:r>
      <w:r w:rsidRPr="00B922FA">
        <w:rPr>
          <w:rFonts w:ascii="Arial" w:hAnsi="Arial" w:cs="Arial"/>
          <w:color w:val="000000"/>
        </w:rPr>
        <w:t xml:space="preserve">e next best performer was </w:t>
      </w:r>
      <w:r>
        <w:rPr>
          <w:rFonts w:ascii="Arial" w:hAnsi="Arial" w:cs="Arial"/>
          <w:color w:val="000000"/>
        </w:rPr>
        <w:t>South Africa’s Johannesburg Stock Exchange wit</w:t>
      </w:r>
      <w:r w:rsidRPr="00B922FA">
        <w:rPr>
          <w:rFonts w:ascii="Arial" w:hAnsi="Arial" w:cs="Tahoma"/>
          <w:color w:val="000000"/>
          <w:szCs w:val="20"/>
        </w:rPr>
        <w:t xml:space="preserve">h a </w:t>
      </w:r>
      <w:r>
        <w:rPr>
          <w:rFonts w:ascii="Arial" w:hAnsi="Arial" w:cs="Tahoma"/>
          <w:color w:val="000000"/>
          <w:szCs w:val="20"/>
        </w:rPr>
        <w:t xml:space="preserve">0.6 per cent </w:t>
      </w:r>
      <w:r w:rsidRPr="00B922FA">
        <w:rPr>
          <w:rFonts w:ascii="Arial" w:hAnsi="Arial" w:cs="Tahoma"/>
          <w:color w:val="000000"/>
          <w:szCs w:val="20"/>
        </w:rPr>
        <w:t>increase over the same period.</w:t>
      </w:r>
    </w:p>
    <w:p w:rsidR="00A20230" w:rsidRPr="00B922FA" w:rsidRDefault="00A20230" w:rsidP="00F7574C">
      <w:pPr>
        <w:rPr>
          <w:rFonts w:ascii="Arial" w:hAnsi="Arial" w:cs="Arial"/>
          <w:color w:val="000000"/>
        </w:rPr>
      </w:pPr>
    </w:p>
    <w:p w:rsidR="00A20230" w:rsidRPr="00B922FA" w:rsidRDefault="00A20230" w:rsidP="00F7574C">
      <w:pPr>
        <w:rPr>
          <w:rFonts w:ascii="Arial" w:hAnsi="Arial" w:cs="Tahoma"/>
          <w:color w:val="000000"/>
          <w:szCs w:val="20"/>
        </w:rPr>
      </w:pPr>
      <w:r w:rsidRPr="00B922FA">
        <w:rPr>
          <w:rFonts w:ascii="Arial" w:hAnsi="Arial" w:cs="Arial"/>
          <w:color w:val="000000"/>
        </w:rPr>
        <w:t>The FTSE Mondo Visione Exchanges Index worst performer by capital returns in US dollars was</w:t>
      </w:r>
      <w:r>
        <w:rPr>
          <w:rFonts w:ascii="Arial" w:hAnsi="Arial" w:cs="Arial"/>
          <w:color w:val="000000"/>
        </w:rPr>
        <w:t xml:space="preserve"> Germany’s Deutsche Boerse </w:t>
      </w:r>
      <w:r w:rsidRPr="00B922FA">
        <w:rPr>
          <w:rFonts w:ascii="Arial" w:hAnsi="Arial" w:cs="Arial"/>
          <w:color w:val="000000"/>
        </w:rPr>
        <w:t xml:space="preserve">with a </w:t>
      </w:r>
      <w:r>
        <w:rPr>
          <w:rFonts w:ascii="Arial" w:hAnsi="Arial" w:cs="Arial"/>
          <w:color w:val="000000"/>
        </w:rPr>
        <w:t>21.8 pe</w:t>
      </w:r>
      <w:r w:rsidRPr="00B922FA">
        <w:rPr>
          <w:rFonts w:ascii="Arial" w:hAnsi="Arial" w:cs="Arial"/>
          <w:color w:val="000000"/>
        </w:rPr>
        <w:t xml:space="preserve">r cent decrease in share price from </w:t>
      </w:r>
      <w:r>
        <w:rPr>
          <w:rFonts w:ascii="Arial" w:hAnsi="Arial" w:cs="Arial"/>
          <w:color w:val="000000"/>
        </w:rPr>
        <w:t xml:space="preserve">29 July to 31 August </w:t>
      </w:r>
      <w:r w:rsidRPr="00B922FA">
        <w:rPr>
          <w:rFonts w:ascii="Arial" w:hAnsi="Arial" w:cs="Arial"/>
          <w:color w:val="000000"/>
        </w:rPr>
        <w:t xml:space="preserve">2011. This was followed by </w:t>
      </w:r>
      <w:r>
        <w:rPr>
          <w:rFonts w:ascii="Arial" w:hAnsi="Arial" w:cs="Arial"/>
          <w:color w:val="000000"/>
        </w:rPr>
        <w:t>NYSE Euronext with a 18.5 per cent</w:t>
      </w:r>
      <w:r>
        <w:rPr>
          <w:rFonts w:ascii="Arial" w:hAnsi="Arial" w:cs="Tahoma"/>
          <w:color w:val="000000"/>
          <w:szCs w:val="20"/>
        </w:rPr>
        <w:t xml:space="preserve"> </w:t>
      </w:r>
      <w:r w:rsidRPr="00B922FA">
        <w:rPr>
          <w:rFonts w:ascii="Arial" w:hAnsi="Arial" w:cs="Tahoma"/>
          <w:color w:val="000000"/>
          <w:szCs w:val="20"/>
        </w:rPr>
        <w:t>decline over the same period.</w:t>
      </w:r>
    </w:p>
    <w:p w:rsidR="00A20230" w:rsidRDefault="00A20230" w:rsidP="00F7574C">
      <w:pPr>
        <w:rPr>
          <w:rFonts w:ascii="Arial" w:hAnsi="Arial" w:cs="Arial"/>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MV_logo_lockup_RGB 3COL.jpg" style="position:absolute;margin-left:-37.95pt;margin-top:-81.3pt;width:168pt;height:70.5pt;z-index:251658240;visibility:visible;mso-position-horizontal-relative:margin;mso-position-vertical-relative:margin">
            <v:imagedata r:id="rId7" o:title=""/>
            <w10:wrap type="square" anchorx="margin" anchory="margin"/>
          </v:shape>
        </w:pict>
      </w:r>
    </w:p>
    <w:p w:rsidR="00A20230" w:rsidRDefault="00A20230" w:rsidP="00F7574C">
      <w:pPr>
        <w:rPr>
          <w:rFonts w:ascii="Arial" w:hAnsi="Arial" w:cs="Arial"/>
          <w:b/>
          <w:bCs/>
        </w:rPr>
      </w:pPr>
      <w:r w:rsidRPr="00F71916">
        <w:rPr>
          <w:rFonts w:ascii="Arial" w:hAnsi="Arial" w:cs="Arial"/>
          <w:b/>
          <w:bCs/>
        </w:rPr>
        <w:t>-Ends-</w:t>
      </w:r>
    </w:p>
    <w:p w:rsidR="00A20230" w:rsidRPr="00F71916" w:rsidRDefault="00A20230" w:rsidP="00F650A1">
      <w:pPr>
        <w:rPr>
          <w:rFonts w:ascii="Arial" w:hAnsi="Arial" w:cs="Arial"/>
          <w:b/>
          <w:bCs/>
        </w:rPr>
      </w:pPr>
    </w:p>
    <w:p w:rsidR="00A20230" w:rsidRPr="00C22CCC" w:rsidRDefault="00A20230" w:rsidP="00FC7313">
      <w:pPr>
        <w:spacing w:after="200" w:line="276" w:lineRule="auto"/>
        <w:rPr>
          <w:rFonts w:ascii="Arial" w:hAnsi="Arial" w:cs="Arial"/>
          <w:b/>
          <w:bCs/>
        </w:rPr>
      </w:pPr>
      <w:r w:rsidRPr="00C22CCC">
        <w:rPr>
          <w:rFonts w:ascii="Arial" w:hAnsi="Arial" w:cs="Arial"/>
          <w:b/>
          <w:bCs/>
        </w:rPr>
        <w:t>For more information please contact:</w:t>
      </w:r>
    </w:p>
    <w:p w:rsidR="00A20230" w:rsidRPr="00C22CCC" w:rsidRDefault="00A20230" w:rsidP="00B37E35">
      <w:pPr>
        <w:rPr>
          <w:rFonts w:ascii="Arial" w:hAnsi="Arial" w:cs="Arial"/>
          <w:b/>
          <w:bCs/>
        </w:rPr>
      </w:pPr>
    </w:p>
    <w:tbl>
      <w:tblPr>
        <w:tblW w:w="9930" w:type="dxa"/>
        <w:tblInd w:w="-106" w:type="dxa"/>
        <w:tblCellMar>
          <w:left w:w="0" w:type="dxa"/>
          <w:right w:w="0" w:type="dxa"/>
        </w:tblCellMar>
        <w:tblLook w:val="00A0"/>
      </w:tblPr>
      <w:tblGrid>
        <w:gridCol w:w="3191"/>
        <w:gridCol w:w="4303"/>
        <w:gridCol w:w="2436"/>
      </w:tblGrid>
      <w:tr w:rsidR="00A20230" w:rsidRPr="00406CB9" w:rsidTr="00C22CCC">
        <w:tc>
          <w:tcPr>
            <w:tcW w:w="3191" w:type="dxa"/>
            <w:tcMar>
              <w:top w:w="0" w:type="dxa"/>
              <w:left w:w="108" w:type="dxa"/>
              <w:bottom w:w="0" w:type="dxa"/>
              <w:right w:w="108" w:type="dxa"/>
            </w:tcMar>
            <w:vAlign w:val="center"/>
          </w:tcPr>
          <w:p w:rsidR="00A20230" w:rsidRPr="00406CB9" w:rsidRDefault="00A20230" w:rsidP="00C22CCC">
            <w:pPr>
              <w:ind w:left="106"/>
              <w:rPr>
                <w:rFonts w:ascii="Arial" w:hAnsi="Arial" w:cs="Arial"/>
                <w:b/>
                <w:bCs/>
              </w:rPr>
            </w:pPr>
            <w:r w:rsidRPr="00406CB9">
              <w:rPr>
                <w:rFonts w:ascii="Arial" w:hAnsi="Arial" w:cs="Arial"/>
                <w:b/>
                <w:bCs/>
              </w:rPr>
              <w:t>Waitui Communications</w:t>
            </w:r>
          </w:p>
        </w:tc>
        <w:tc>
          <w:tcPr>
            <w:tcW w:w="6739" w:type="dxa"/>
            <w:gridSpan w:val="2"/>
            <w:vAlign w:val="center"/>
          </w:tcPr>
          <w:p w:rsidR="00A20230" w:rsidRPr="00406CB9" w:rsidRDefault="00A20230" w:rsidP="006D501E">
            <w:pPr>
              <w:ind w:left="106"/>
              <w:rPr>
                <w:rFonts w:ascii="Arial" w:hAnsi="Arial" w:cs="Arial"/>
              </w:rPr>
            </w:pPr>
            <w:r w:rsidRPr="00406CB9">
              <w:rPr>
                <w:rFonts w:ascii="Arial" w:hAnsi="Arial" w:cs="Arial"/>
              </w:rPr>
              <w:t> </w:t>
            </w:r>
          </w:p>
        </w:tc>
      </w:tr>
      <w:tr w:rsidR="00A20230" w:rsidRPr="00406CB9" w:rsidTr="00C22CCC">
        <w:trPr>
          <w:trHeight w:val="80"/>
        </w:trPr>
        <w:tc>
          <w:tcPr>
            <w:tcW w:w="3191" w:type="dxa"/>
            <w:tcMar>
              <w:top w:w="0" w:type="dxa"/>
              <w:left w:w="108" w:type="dxa"/>
              <w:bottom w:w="0" w:type="dxa"/>
              <w:right w:w="108" w:type="dxa"/>
            </w:tcMar>
            <w:vAlign w:val="center"/>
          </w:tcPr>
          <w:p w:rsidR="00A20230" w:rsidRPr="00406CB9" w:rsidRDefault="00A20230" w:rsidP="006D501E">
            <w:pPr>
              <w:ind w:left="106"/>
              <w:rPr>
                <w:rFonts w:ascii="Arial" w:hAnsi="Arial" w:cs="Arial"/>
                <w:bCs/>
              </w:rPr>
            </w:pPr>
          </w:p>
          <w:p w:rsidR="00A20230" w:rsidRPr="00406CB9" w:rsidRDefault="00A20230" w:rsidP="006D501E">
            <w:pPr>
              <w:ind w:left="106"/>
              <w:rPr>
                <w:rFonts w:ascii="Arial" w:hAnsi="Arial" w:cs="Arial"/>
                <w:bCs/>
              </w:rPr>
            </w:pPr>
            <w:r w:rsidRPr="00406CB9">
              <w:rPr>
                <w:rFonts w:ascii="Arial" w:hAnsi="Arial" w:cs="Arial"/>
                <w:bCs/>
              </w:rPr>
              <w:t>Belinda Leslie</w:t>
            </w:r>
          </w:p>
        </w:tc>
        <w:tc>
          <w:tcPr>
            <w:tcW w:w="4303" w:type="dxa"/>
            <w:tcMar>
              <w:top w:w="0" w:type="dxa"/>
              <w:left w:w="108" w:type="dxa"/>
              <w:bottom w:w="0" w:type="dxa"/>
              <w:right w:w="108" w:type="dxa"/>
            </w:tcMar>
            <w:vAlign w:val="center"/>
          </w:tcPr>
          <w:p w:rsidR="00A20230" w:rsidRPr="00406CB9" w:rsidRDefault="00A20230" w:rsidP="006D501E">
            <w:pPr>
              <w:ind w:left="106"/>
              <w:rPr>
                <w:rFonts w:ascii="Arial" w:hAnsi="Arial" w:cs="Arial"/>
              </w:rPr>
            </w:pPr>
            <w:hyperlink r:id="rId8" w:history="1">
              <w:r w:rsidRPr="00406CB9">
                <w:rPr>
                  <w:rStyle w:val="Hyperlink"/>
                  <w:rFonts w:ascii="Arial" w:hAnsi="Arial" w:cs="Arial"/>
                </w:rPr>
                <w:t>Belinda.Leslie@waituicomms.com</w:t>
              </w:r>
            </w:hyperlink>
          </w:p>
        </w:tc>
        <w:tc>
          <w:tcPr>
            <w:tcW w:w="2436" w:type="dxa"/>
            <w:tcMar>
              <w:top w:w="0" w:type="dxa"/>
              <w:left w:w="108" w:type="dxa"/>
              <w:bottom w:w="0" w:type="dxa"/>
              <w:right w:w="108" w:type="dxa"/>
            </w:tcMar>
            <w:vAlign w:val="center"/>
          </w:tcPr>
          <w:p w:rsidR="00A20230" w:rsidRPr="00406CB9" w:rsidRDefault="00A20230" w:rsidP="006D501E">
            <w:pPr>
              <w:ind w:left="106"/>
              <w:rPr>
                <w:rFonts w:ascii="Arial" w:hAnsi="Arial" w:cs="Arial"/>
              </w:rPr>
            </w:pPr>
          </w:p>
        </w:tc>
      </w:tr>
    </w:tbl>
    <w:p w:rsidR="00A20230" w:rsidRPr="00C22CCC" w:rsidRDefault="00A20230" w:rsidP="00B37E35">
      <w:pPr>
        <w:rPr>
          <w:rFonts w:ascii="Arial" w:hAnsi="Arial" w:cs="Arial"/>
          <w:b/>
          <w:bCs/>
        </w:rPr>
      </w:pPr>
    </w:p>
    <w:p w:rsidR="00A20230" w:rsidRPr="00C22CCC" w:rsidRDefault="00A20230" w:rsidP="00B37E35">
      <w:pPr>
        <w:rPr>
          <w:rFonts w:ascii="Arial" w:hAnsi="Arial" w:cs="Arial"/>
          <w:b/>
          <w:bCs/>
        </w:rPr>
      </w:pPr>
    </w:p>
    <w:p w:rsidR="00A20230" w:rsidRDefault="00A20230">
      <w:pPr>
        <w:rPr>
          <w:rFonts w:ascii="Arial" w:hAnsi="Arial" w:cs="Arial"/>
          <w:b/>
          <w:bCs/>
        </w:rPr>
      </w:pPr>
      <w:r>
        <w:rPr>
          <w:rFonts w:ascii="Arial" w:hAnsi="Arial" w:cs="Arial"/>
          <w:b/>
          <w:bCs/>
        </w:rPr>
        <w:br w:type="page"/>
      </w:r>
    </w:p>
    <w:p w:rsidR="00A20230" w:rsidRPr="00C22CCC" w:rsidRDefault="00A20230" w:rsidP="00B37E35">
      <w:pPr>
        <w:rPr>
          <w:rFonts w:ascii="Arial" w:hAnsi="Arial" w:cs="Arial"/>
          <w:b/>
          <w:bCs/>
        </w:rPr>
      </w:pPr>
      <w:r w:rsidRPr="00C22CCC">
        <w:rPr>
          <w:rFonts w:ascii="Arial" w:hAnsi="Arial" w:cs="Arial"/>
          <w:b/>
          <w:bCs/>
        </w:rPr>
        <w:t>Monthly FTSE Mondo Visione Exchanges Index Performance (Capital Return, USD)</w:t>
      </w:r>
    </w:p>
    <w:p w:rsidR="00A20230" w:rsidRPr="00C22CCC" w:rsidRDefault="00A20230" w:rsidP="00B37E35">
      <w:pPr>
        <w:rPr>
          <w:rFonts w:ascii="Arial" w:hAnsi="Arial" w:cs="Arial"/>
          <w:b/>
          <w:bCs/>
        </w:rPr>
      </w:pPr>
    </w:p>
    <w:tbl>
      <w:tblPr>
        <w:tblW w:w="0" w:type="auto"/>
        <w:tblInd w:w="-106" w:type="dxa"/>
        <w:tblCellMar>
          <w:left w:w="0" w:type="dxa"/>
          <w:right w:w="0" w:type="dxa"/>
        </w:tblCellMar>
        <w:tblLook w:val="00A0"/>
      </w:tblPr>
      <w:tblGrid>
        <w:gridCol w:w="4247"/>
        <w:gridCol w:w="4252"/>
      </w:tblGrid>
      <w:tr w:rsidR="00A20230" w:rsidRPr="00406CB9" w:rsidTr="008A0F8C">
        <w:tc>
          <w:tcPr>
            <w:tcW w:w="424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rPr>
            </w:pPr>
            <w:r w:rsidRPr="00406CB9">
              <w:rPr>
                <w:rFonts w:ascii="Arial" w:hAnsi="Arial" w:cs="Arial"/>
                <w:b/>
                <w:bCs/>
              </w:rPr>
              <w:t>September 2009</w:t>
            </w:r>
          </w:p>
        </w:tc>
        <w:tc>
          <w:tcPr>
            <w:tcW w:w="425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rPr>
            </w:pPr>
            <w:r w:rsidRPr="00406CB9">
              <w:rPr>
                <w:rFonts w:ascii="Arial" w:hAnsi="Arial" w:cs="Arial"/>
                <w:color w:val="000000"/>
              </w:rPr>
              <w:t>6.4%</w:t>
            </w:r>
          </w:p>
        </w:tc>
      </w:tr>
      <w:tr w:rsidR="00A20230"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rPr>
            </w:pPr>
            <w:r w:rsidRPr="00406CB9">
              <w:rPr>
                <w:rFonts w:ascii="Arial" w:hAnsi="Arial" w:cs="Arial"/>
                <w:b/>
                <w:bCs/>
              </w:rPr>
              <w:t>October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rPr>
            </w:pPr>
            <w:r w:rsidRPr="00406CB9">
              <w:rPr>
                <w:rFonts w:ascii="Arial" w:hAnsi="Arial" w:cs="Arial"/>
                <w:color w:val="000000"/>
              </w:rPr>
              <w:t>-4.0%</w:t>
            </w:r>
          </w:p>
        </w:tc>
      </w:tr>
      <w:tr w:rsidR="00A20230"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rPr>
            </w:pPr>
            <w:r w:rsidRPr="00406CB9">
              <w:rPr>
                <w:rFonts w:ascii="Arial" w:hAnsi="Arial" w:cs="Arial"/>
                <w:b/>
                <w:bCs/>
              </w:rPr>
              <w:t>November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rPr>
            </w:pPr>
            <w:r w:rsidRPr="00406CB9">
              <w:rPr>
                <w:rFonts w:ascii="Arial" w:hAnsi="Arial" w:cs="Arial"/>
                <w:color w:val="000000"/>
              </w:rPr>
              <w:t>2.2%</w:t>
            </w:r>
          </w:p>
        </w:tc>
      </w:tr>
      <w:tr w:rsidR="00A20230"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rPr>
            </w:pPr>
            <w:r w:rsidRPr="00406CB9">
              <w:rPr>
                <w:rFonts w:ascii="Arial" w:hAnsi="Arial" w:cs="Arial"/>
                <w:b/>
                <w:bCs/>
              </w:rPr>
              <w:t>December 2009</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rPr>
            </w:pPr>
            <w:r w:rsidRPr="00406CB9">
              <w:rPr>
                <w:rFonts w:ascii="Arial" w:hAnsi="Arial" w:cs="Arial"/>
                <w:color w:val="000000"/>
              </w:rPr>
              <w:t>1.8%</w:t>
            </w:r>
          </w:p>
        </w:tc>
      </w:tr>
      <w:tr w:rsidR="00A20230"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b/>
                <w:bCs/>
              </w:rPr>
            </w:pPr>
            <w:r w:rsidRPr="00406CB9">
              <w:rPr>
                <w:rFonts w:ascii="Arial" w:hAnsi="Arial" w:cs="Arial"/>
                <w:b/>
                <w:bCs/>
              </w:rPr>
              <w:t>January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rPr>
            </w:pPr>
            <w:r w:rsidRPr="00406CB9">
              <w:rPr>
                <w:rFonts w:ascii="Arial" w:hAnsi="Arial" w:cs="Arial"/>
                <w:color w:val="000000"/>
              </w:rPr>
              <w:t>-10.2%</w:t>
            </w:r>
          </w:p>
        </w:tc>
      </w:tr>
      <w:tr w:rsidR="00A20230"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rPr>
            </w:pPr>
            <w:r w:rsidRPr="00406CB9">
              <w:rPr>
                <w:rFonts w:ascii="Arial" w:hAnsi="Arial" w:cs="Arial"/>
                <w:b/>
                <w:bCs/>
              </w:rPr>
              <w:t>February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rPr>
            </w:pPr>
            <w:r w:rsidRPr="00406CB9">
              <w:rPr>
                <w:rFonts w:ascii="Arial" w:hAnsi="Arial" w:cs="Arial"/>
                <w:color w:val="000000"/>
              </w:rPr>
              <w:t>2.4%</w:t>
            </w:r>
          </w:p>
        </w:tc>
      </w:tr>
      <w:tr w:rsidR="00A20230"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b/>
                <w:bCs/>
              </w:rPr>
            </w:pPr>
            <w:r w:rsidRPr="00406CB9">
              <w:rPr>
                <w:rFonts w:ascii="Arial" w:hAnsi="Arial" w:cs="Arial"/>
                <w:b/>
                <w:bCs/>
              </w:rPr>
              <w:t>March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color w:val="000000"/>
              </w:rPr>
            </w:pPr>
            <w:r w:rsidRPr="00406CB9">
              <w:rPr>
                <w:rFonts w:ascii="Arial" w:hAnsi="Arial" w:cs="Arial"/>
              </w:rPr>
              <w:t>4.0%</w:t>
            </w:r>
          </w:p>
        </w:tc>
      </w:tr>
      <w:tr w:rsidR="00A20230"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b/>
                <w:bCs/>
              </w:rPr>
            </w:pPr>
            <w:r w:rsidRPr="00406CB9">
              <w:rPr>
                <w:rFonts w:ascii="Arial" w:hAnsi="Arial" w:cs="Arial"/>
                <w:b/>
                <w:bCs/>
              </w:rPr>
              <w:t>April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rPr>
            </w:pPr>
            <w:r w:rsidRPr="00406CB9">
              <w:rPr>
                <w:rFonts w:ascii="Arial" w:hAnsi="Arial" w:cs="Arial"/>
                <w:color w:val="000000"/>
              </w:rPr>
              <w:t>2.6%</w:t>
            </w:r>
          </w:p>
        </w:tc>
      </w:tr>
      <w:tr w:rsidR="00A20230" w:rsidRPr="00406CB9" w:rsidTr="00C806BE">
        <w:tc>
          <w:tcPr>
            <w:tcW w:w="424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b/>
                <w:bCs/>
              </w:rPr>
            </w:pPr>
            <w:r w:rsidRPr="00406CB9">
              <w:rPr>
                <w:rFonts w:ascii="Arial" w:hAnsi="Arial" w:cs="Arial"/>
                <w:b/>
                <w:bCs/>
              </w:rPr>
              <w:t>May 2010</w:t>
            </w:r>
          </w:p>
        </w:tc>
        <w:tc>
          <w:tcPr>
            <w:tcW w:w="4252" w:type="dxa"/>
            <w:tcBorders>
              <w:top w:val="nil"/>
              <w:left w:val="nil"/>
              <w:bottom w:val="single" w:sz="8" w:space="0" w:color="auto"/>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color w:val="000000"/>
              </w:rPr>
            </w:pPr>
            <w:r w:rsidRPr="00406CB9">
              <w:rPr>
                <w:rFonts w:ascii="Arial" w:hAnsi="Arial" w:cs="Arial"/>
              </w:rPr>
              <w:t>-8.9%</w:t>
            </w:r>
          </w:p>
        </w:tc>
      </w:tr>
      <w:tr w:rsidR="00A20230" w:rsidRPr="00406CB9" w:rsidTr="00C806BE">
        <w:tc>
          <w:tcPr>
            <w:tcW w:w="4247" w:type="dxa"/>
            <w:tcBorders>
              <w:top w:val="nil"/>
              <w:left w:val="single" w:sz="8" w:space="0" w:color="auto"/>
              <w:bottom w:val="nil"/>
              <w:right w:val="single" w:sz="8" w:space="0" w:color="auto"/>
            </w:tcBorders>
            <w:tcMar>
              <w:top w:w="0" w:type="dxa"/>
              <w:left w:w="108" w:type="dxa"/>
              <w:bottom w:w="0" w:type="dxa"/>
              <w:right w:w="108" w:type="dxa"/>
            </w:tcMar>
            <w:vAlign w:val="center"/>
          </w:tcPr>
          <w:p w:rsidR="00A20230" w:rsidRPr="00406CB9" w:rsidRDefault="00A20230" w:rsidP="00AB4177">
            <w:pPr>
              <w:spacing w:after="120"/>
              <w:jc w:val="both"/>
              <w:rPr>
                <w:rFonts w:ascii="Arial" w:hAnsi="Arial" w:cs="Arial"/>
              </w:rPr>
            </w:pPr>
            <w:r w:rsidRPr="00406CB9">
              <w:rPr>
                <w:rFonts w:ascii="Arial" w:hAnsi="Arial" w:cs="Arial"/>
                <w:b/>
                <w:bCs/>
              </w:rPr>
              <w:t>June 2010</w:t>
            </w:r>
          </w:p>
        </w:tc>
        <w:tc>
          <w:tcPr>
            <w:tcW w:w="4252" w:type="dxa"/>
            <w:tcBorders>
              <w:top w:val="nil"/>
              <w:left w:val="nil"/>
              <w:bottom w:val="nil"/>
              <w:right w:val="single" w:sz="8" w:space="0" w:color="auto"/>
            </w:tcBorders>
            <w:tcMar>
              <w:top w:w="0" w:type="dxa"/>
              <w:left w:w="108" w:type="dxa"/>
              <w:bottom w:w="0" w:type="dxa"/>
              <w:right w:w="108" w:type="dxa"/>
            </w:tcMar>
            <w:vAlign w:val="center"/>
          </w:tcPr>
          <w:p w:rsidR="00A20230" w:rsidRPr="00406CB9" w:rsidRDefault="00A20230" w:rsidP="00AB4177">
            <w:pPr>
              <w:spacing w:after="120"/>
              <w:jc w:val="right"/>
              <w:rPr>
                <w:rFonts w:ascii="Arial" w:hAnsi="Arial" w:cs="Arial"/>
              </w:rPr>
            </w:pPr>
            <w:r w:rsidRPr="00406CB9">
              <w:rPr>
                <w:rFonts w:ascii="Arial" w:hAnsi="Arial" w:cs="Arial"/>
              </w:rPr>
              <w:t>-3.4%</w:t>
            </w:r>
          </w:p>
        </w:tc>
      </w:tr>
      <w:tr w:rsidR="00A20230"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Pr="00406CB9" w:rsidRDefault="00A20230" w:rsidP="00AB4177">
            <w:pPr>
              <w:rPr>
                <w:rFonts w:ascii="Arial" w:hAnsi="Arial" w:cs="Arial"/>
                <w:b/>
              </w:rPr>
            </w:pPr>
            <w:r w:rsidRPr="00406CB9">
              <w:rPr>
                <w:rFonts w:ascii="Arial" w:hAnsi="Arial" w:cs="Arial"/>
                <w:b/>
              </w:rPr>
              <w:t>July 2010</w:t>
            </w:r>
          </w:p>
        </w:tc>
        <w:tc>
          <w:tcPr>
            <w:tcW w:w="4252" w:type="dxa"/>
          </w:tcPr>
          <w:p w:rsidR="00A20230" w:rsidRPr="00406CB9" w:rsidRDefault="00A20230" w:rsidP="00AB4177">
            <w:pPr>
              <w:ind w:right="-45"/>
              <w:jc w:val="right"/>
              <w:rPr>
                <w:rFonts w:ascii="Arial" w:hAnsi="Arial" w:cs="Arial"/>
              </w:rPr>
            </w:pPr>
            <w:r w:rsidRPr="00406CB9">
              <w:rPr>
                <w:rFonts w:ascii="Arial" w:hAnsi="Arial" w:cs="Arial"/>
              </w:rPr>
              <w:t>6.1%</w:t>
            </w:r>
          </w:p>
        </w:tc>
      </w:tr>
      <w:tr w:rsidR="00A20230"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Pr="00406CB9" w:rsidRDefault="00A20230" w:rsidP="00AB4177">
            <w:pPr>
              <w:rPr>
                <w:rFonts w:ascii="Arial" w:hAnsi="Arial" w:cs="Arial"/>
                <w:b/>
              </w:rPr>
            </w:pPr>
            <w:r w:rsidRPr="00406CB9">
              <w:rPr>
                <w:rFonts w:ascii="Arial" w:hAnsi="Arial" w:cs="Arial"/>
                <w:b/>
              </w:rPr>
              <w:t>August 2010</w:t>
            </w:r>
          </w:p>
        </w:tc>
        <w:tc>
          <w:tcPr>
            <w:tcW w:w="4252" w:type="dxa"/>
          </w:tcPr>
          <w:p w:rsidR="00A20230" w:rsidRPr="00406CB9" w:rsidRDefault="00A20230" w:rsidP="00AB4177">
            <w:pPr>
              <w:pStyle w:val="ListParagraph"/>
              <w:ind w:right="-45"/>
              <w:jc w:val="right"/>
              <w:rPr>
                <w:rFonts w:ascii="Arial" w:hAnsi="Arial" w:cs="Arial"/>
                <w:sz w:val="22"/>
                <w:szCs w:val="22"/>
              </w:rPr>
            </w:pPr>
            <w:r w:rsidRPr="00406CB9">
              <w:rPr>
                <w:rFonts w:ascii="Arial" w:hAnsi="Arial" w:cs="Arial"/>
                <w:sz w:val="22"/>
                <w:szCs w:val="22"/>
              </w:rPr>
              <w:t>-6.1%</w:t>
            </w:r>
          </w:p>
        </w:tc>
      </w:tr>
      <w:tr w:rsidR="00A20230"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Pr="00406CB9" w:rsidRDefault="00A20230" w:rsidP="00AB4177">
            <w:pPr>
              <w:rPr>
                <w:rFonts w:ascii="Arial" w:hAnsi="Arial" w:cs="Arial"/>
                <w:b/>
              </w:rPr>
            </w:pPr>
            <w:r w:rsidRPr="00406CB9">
              <w:rPr>
                <w:rFonts w:ascii="Arial" w:hAnsi="Arial" w:cs="Arial"/>
                <w:b/>
              </w:rPr>
              <w:t>September 2010</w:t>
            </w:r>
          </w:p>
        </w:tc>
        <w:tc>
          <w:tcPr>
            <w:tcW w:w="4252" w:type="dxa"/>
          </w:tcPr>
          <w:p w:rsidR="00A20230" w:rsidRPr="00406CB9" w:rsidRDefault="00A20230" w:rsidP="00AB4177">
            <w:pPr>
              <w:ind w:right="-45"/>
              <w:jc w:val="right"/>
              <w:rPr>
                <w:rFonts w:ascii="Arial" w:hAnsi="Arial" w:cs="Arial"/>
              </w:rPr>
            </w:pPr>
            <w:r w:rsidRPr="00406CB9">
              <w:rPr>
                <w:rFonts w:ascii="Arial" w:hAnsi="Arial" w:cs="Arial"/>
              </w:rPr>
              <w:t>13.2%</w:t>
            </w:r>
          </w:p>
        </w:tc>
      </w:tr>
      <w:tr w:rsidR="00A20230"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Pr="00406CB9" w:rsidRDefault="00A20230" w:rsidP="00AB4177">
            <w:pPr>
              <w:rPr>
                <w:rFonts w:ascii="Arial" w:hAnsi="Arial" w:cs="Arial"/>
                <w:b/>
              </w:rPr>
            </w:pPr>
            <w:r w:rsidRPr="00406CB9">
              <w:rPr>
                <w:rFonts w:ascii="Arial" w:hAnsi="Arial" w:cs="Arial"/>
                <w:b/>
              </w:rPr>
              <w:t>October 2010</w:t>
            </w:r>
          </w:p>
        </w:tc>
        <w:tc>
          <w:tcPr>
            <w:tcW w:w="4252" w:type="dxa"/>
          </w:tcPr>
          <w:p w:rsidR="00A20230" w:rsidRPr="00406CB9" w:rsidRDefault="00A20230" w:rsidP="00AB4177">
            <w:pPr>
              <w:ind w:right="-45"/>
              <w:jc w:val="right"/>
              <w:rPr>
                <w:rFonts w:ascii="Arial" w:hAnsi="Arial" w:cs="Arial"/>
              </w:rPr>
            </w:pPr>
            <w:r w:rsidRPr="00406CB9">
              <w:rPr>
                <w:rFonts w:ascii="Arial" w:hAnsi="Arial" w:cs="Arial"/>
              </w:rPr>
              <w:t>7.5%</w:t>
            </w:r>
          </w:p>
        </w:tc>
      </w:tr>
      <w:tr w:rsidR="00A20230" w:rsidRPr="00406CB9" w:rsidTr="001254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Pr="00406CB9" w:rsidRDefault="00A20230" w:rsidP="00AB4177">
            <w:pPr>
              <w:rPr>
                <w:rFonts w:ascii="Arial" w:hAnsi="Arial" w:cs="Arial"/>
                <w:b/>
              </w:rPr>
            </w:pPr>
            <w:r w:rsidRPr="00406CB9">
              <w:rPr>
                <w:rFonts w:ascii="Arial" w:hAnsi="Arial" w:cs="Arial"/>
                <w:b/>
              </w:rPr>
              <w:t>November 2010</w:t>
            </w:r>
          </w:p>
        </w:tc>
        <w:tc>
          <w:tcPr>
            <w:tcW w:w="4252" w:type="dxa"/>
          </w:tcPr>
          <w:p w:rsidR="00A20230" w:rsidRPr="00406CB9" w:rsidRDefault="00A20230" w:rsidP="00AB4177">
            <w:pPr>
              <w:ind w:right="-45"/>
              <w:jc w:val="right"/>
              <w:rPr>
                <w:rFonts w:ascii="Arial" w:hAnsi="Arial" w:cs="Arial"/>
              </w:rPr>
            </w:pPr>
            <w:r w:rsidRPr="00406CB9">
              <w:rPr>
                <w:rFonts w:ascii="Arial" w:hAnsi="Arial" w:cs="Arial"/>
              </w:rPr>
              <w:t>-3.7%</w:t>
            </w:r>
          </w:p>
        </w:tc>
      </w:tr>
      <w:tr w:rsidR="00A20230"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Pr="00406CB9" w:rsidRDefault="00A20230" w:rsidP="00AB4177">
            <w:pPr>
              <w:rPr>
                <w:rFonts w:ascii="Arial" w:hAnsi="Arial" w:cs="Arial"/>
                <w:b/>
              </w:rPr>
            </w:pPr>
            <w:r w:rsidRPr="00406CB9">
              <w:rPr>
                <w:rFonts w:ascii="Arial" w:hAnsi="Arial" w:cs="Arial"/>
                <w:b/>
              </w:rPr>
              <w:t>December 2010</w:t>
            </w:r>
          </w:p>
        </w:tc>
        <w:tc>
          <w:tcPr>
            <w:tcW w:w="4252" w:type="dxa"/>
          </w:tcPr>
          <w:p w:rsidR="00A20230" w:rsidRPr="00406CB9" w:rsidRDefault="00A20230" w:rsidP="00AB4177">
            <w:pPr>
              <w:ind w:right="-45"/>
              <w:jc w:val="right"/>
              <w:rPr>
                <w:rFonts w:ascii="Arial" w:hAnsi="Arial" w:cs="Arial"/>
              </w:rPr>
            </w:pPr>
            <w:r w:rsidRPr="00406CB9">
              <w:rPr>
                <w:rFonts w:ascii="Arial" w:hAnsi="Arial" w:cs="Arial"/>
              </w:rPr>
              <w:t>6.2%</w:t>
            </w:r>
          </w:p>
        </w:tc>
      </w:tr>
      <w:tr w:rsidR="00A20230"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Pr="00406CB9" w:rsidRDefault="00A20230" w:rsidP="00AB4177">
            <w:pPr>
              <w:rPr>
                <w:rFonts w:ascii="Arial" w:hAnsi="Arial" w:cs="Arial"/>
                <w:b/>
              </w:rPr>
            </w:pPr>
            <w:r>
              <w:rPr>
                <w:rFonts w:ascii="Arial" w:hAnsi="Arial" w:cs="Arial"/>
                <w:b/>
              </w:rPr>
              <w:t>January 2011</w:t>
            </w:r>
          </w:p>
        </w:tc>
        <w:tc>
          <w:tcPr>
            <w:tcW w:w="4252" w:type="dxa"/>
          </w:tcPr>
          <w:p w:rsidR="00A20230" w:rsidRPr="00406CB9" w:rsidRDefault="00A20230" w:rsidP="00AB4177">
            <w:pPr>
              <w:ind w:right="-45"/>
              <w:jc w:val="right"/>
              <w:rPr>
                <w:rFonts w:ascii="Arial" w:hAnsi="Arial" w:cs="Arial"/>
              </w:rPr>
            </w:pPr>
            <w:r>
              <w:rPr>
                <w:rFonts w:ascii="Arial" w:hAnsi="Arial" w:cs="Arial"/>
              </w:rPr>
              <w:t>-0.1%</w:t>
            </w:r>
          </w:p>
        </w:tc>
      </w:tr>
      <w:tr w:rsidR="00A20230"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Default="00A20230" w:rsidP="00AB4177">
            <w:pPr>
              <w:rPr>
                <w:rFonts w:ascii="Arial" w:hAnsi="Arial" w:cs="Arial"/>
                <w:b/>
              </w:rPr>
            </w:pPr>
            <w:r>
              <w:rPr>
                <w:rFonts w:ascii="Arial" w:hAnsi="Arial" w:cs="Arial"/>
                <w:b/>
              </w:rPr>
              <w:t>February 2011</w:t>
            </w:r>
          </w:p>
        </w:tc>
        <w:tc>
          <w:tcPr>
            <w:tcW w:w="4252" w:type="dxa"/>
          </w:tcPr>
          <w:p w:rsidR="00A20230" w:rsidRDefault="00A20230" w:rsidP="00AB4177">
            <w:pPr>
              <w:ind w:right="-45"/>
              <w:jc w:val="right"/>
              <w:rPr>
                <w:rFonts w:ascii="Arial" w:hAnsi="Arial" w:cs="Arial"/>
              </w:rPr>
            </w:pPr>
            <w:r>
              <w:rPr>
                <w:rFonts w:ascii="Arial" w:hAnsi="Arial" w:cs="Arial"/>
              </w:rPr>
              <w:t>1.4%</w:t>
            </w:r>
          </w:p>
        </w:tc>
      </w:tr>
      <w:tr w:rsidR="00A20230"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Default="00A20230" w:rsidP="00AB4177">
            <w:pPr>
              <w:rPr>
                <w:rFonts w:ascii="Arial" w:hAnsi="Arial" w:cs="Arial"/>
                <w:b/>
              </w:rPr>
            </w:pPr>
            <w:r>
              <w:rPr>
                <w:rFonts w:ascii="Arial" w:hAnsi="Arial" w:cs="Arial"/>
                <w:b/>
              </w:rPr>
              <w:t>March 2011</w:t>
            </w:r>
          </w:p>
        </w:tc>
        <w:tc>
          <w:tcPr>
            <w:tcW w:w="4252" w:type="dxa"/>
          </w:tcPr>
          <w:p w:rsidR="00A20230" w:rsidRDefault="00A20230" w:rsidP="00AB4177">
            <w:pPr>
              <w:ind w:right="-45"/>
              <w:jc w:val="right"/>
              <w:rPr>
                <w:rFonts w:ascii="Arial" w:hAnsi="Arial" w:cs="Arial"/>
              </w:rPr>
            </w:pPr>
            <w:r>
              <w:rPr>
                <w:rFonts w:ascii="Arial" w:hAnsi="Arial" w:cs="Arial"/>
              </w:rPr>
              <w:t>-1.4%</w:t>
            </w:r>
          </w:p>
        </w:tc>
      </w:tr>
      <w:tr w:rsidR="00A20230"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Default="00A20230" w:rsidP="002E59AE">
            <w:pPr>
              <w:rPr>
                <w:rFonts w:ascii="Arial" w:hAnsi="Arial" w:cs="Arial"/>
                <w:b/>
              </w:rPr>
            </w:pPr>
            <w:r>
              <w:rPr>
                <w:rFonts w:ascii="Arial" w:hAnsi="Arial" w:cs="Arial"/>
                <w:b/>
              </w:rPr>
              <w:t>April 2011</w:t>
            </w:r>
          </w:p>
        </w:tc>
        <w:tc>
          <w:tcPr>
            <w:tcW w:w="4252" w:type="dxa"/>
          </w:tcPr>
          <w:p w:rsidR="00A20230" w:rsidRDefault="00A20230" w:rsidP="002E59AE">
            <w:pPr>
              <w:ind w:right="-45"/>
              <w:jc w:val="right"/>
              <w:rPr>
                <w:rFonts w:ascii="Arial" w:hAnsi="Arial" w:cs="Arial"/>
              </w:rPr>
            </w:pPr>
            <w:r>
              <w:rPr>
                <w:rFonts w:ascii="Arial" w:hAnsi="Arial" w:cs="Arial"/>
              </w:rPr>
              <w:t>4.0%</w:t>
            </w:r>
          </w:p>
        </w:tc>
      </w:tr>
      <w:tr w:rsidR="00A20230"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Default="00A20230" w:rsidP="002E59AE">
            <w:pPr>
              <w:rPr>
                <w:rFonts w:ascii="Arial" w:hAnsi="Arial" w:cs="Arial"/>
                <w:b/>
              </w:rPr>
            </w:pPr>
            <w:r>
              <w:rPr>
                <w:rFonts w:ascii="Arial" w:hAnsi="Arial" w:cs="Arial"/>
                <w:b/>
              </w:rPr>
              <w:t>May 2011</w:t>
            </w:r>
          </w:p>
        </w:tc>
        <w:tc>
          <w:tcPr>
            <w:tcW w:w="4252" w:type="dxa"/>
          </w:tcPr>
          <w:p w:rsidR="00A20230" w:rsidRDefault="00A20230" w:rsidP="002E59AE">
            <w:pPr>
              <w:ind w:right="-45"/>
              <w:jc w:val="right"/>
              <w:rPr>
                <w:rFonts w:ascii="Arial" w:hAnsi="Arial" w:cs="Arial"/>
              </w:rPr>
            </w:pPr>
            <w:r>
              <w:rPr>
                <w:rFonts w:ascii="Arial" w:hAnsi="Arial" w:cs="Arial"/>
              </w:rPr>
              <w:t>-3.2%</w:t>
            </w:r>
          </w:p>
        </w:tc>
      </w:tr>
      <w:tr w:rsidR="00A20230"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Default="00A20230" w:rsidP="00AB4177">
            <w:pPr>
              <w:rPr>
                <w:rFonts w:ascii="Arial" w:hAnsi="Arial" w:cs="Arial"/>
                <w:b/>
              </w:rPr>
            </w:pPr>
            <w:r>
              <w:rPr>
                <w:rFonts w:ascii="Arial" w:hAnsi="Arial" w:cs="Arial"/>
                <w:b/>
              </w:rPr>
              <w:t>June 2011</w:t>
            </w:r>
          </w:p>
        </w:tc>
        <w:tc>
          <w:tcPr>
            <w:tcW w:w="4252" w:type="dxa"/>
          </w:tcPr>
          <w:p w:rsidR="00A20230" w:rsidRDefault="00A20230" w:rsidP="00AB4177">
            <w:pPr>
              <w:ind w:right="-45"/>
              <w:jc w:val="right"/>
              <w:rPr>
                <w:rFonts w:ascii="Arial" w:hAnsi="Arial" w:cs="Arial"/>
              </w:rPr>
            </w:pPr>
            <w:r>
              <w:rPr>
                <w:rFonts w:ascii="Arial" w:hAnsi="Arial" w:cs="Arial"/>
              </w:rPr>
              <w:t>-2.9%</w:t>
            </w:r>
          </w:p>
        </w:tc>
      </w:tr>
      <w:tr w:rsidR="00A20230"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Default="00A20230" w:rsidP="00AB4177">
            <w:pPr>
              <w:rPr>
                <w:rFonts w:ascii="Arial" w:hAnsi="Arial" w:cs="Arial"/>
                <w:b/>
              </w:rPr>
            </w:pPr>
            <w:r>
              <w:rPr>
                <w:rFonts w:ascii="Arial" w:hAnsi="Arial" w:cs="Arial"/>
                <w:b/>
              </w:rPr>
              <w:t>July 2011</w:t>
            </w:r>
          </w:p>
        </w:tc>
        <w:tc>
          <w:tcPr>
            <w:tcW w:w="4252" w:type="dxa"/>
          </w:tcPr>
          <w:p w:rsidR="00A20230" w:rsidRDefault="00A20230" w:rsidP="00AB4177">
            <w:pPr>
              <w:ind w:right="-45"/>
              <w:jc w:val="right"/>
              <w:rPr>
                <w:rFonts w:ascii="Arial" w:hAnsi="Arial" w:cs="Arial"/>
              </w:rPr>
            </w:pPr>
            <w:r>
              <w:rPr>
                <w:rFonts w:ascii="Arial" w:hAnsi="Arial" w:cs="Arial"/>
              </w:rPr>
              <w:t>-2.5%</w:t>
            </w:r>
          </w:p>
        </w:tc>
      </w:tr>
      <w:tr w:rsidR="00A20230" w:rsidRPr="00406CB9" w:rsidTr="00C80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60"/>
        </w:trPr>
        <w:tc>
          <w:tcPr>
            <w:tcW w:w="4247" w:type="dxa"/>
          </w:tcPr>
          <w:p w:rsidR="00A20230" w:rsidRDefault="00A20230" w:rsidP="00AB4177">
            <w:pPr>
              <w:rPr>
                <w:rFonts w:ascii="Arial" w:hAnsi="Arial" w:cs="Arial"/>
                <w:b/>
              </w:rPr>
            </w:pPr>
            <w:r>
              <w:rPr>
                <w:rFonts w:ascii="Arial" w:hAnsi="Arial" w:cs="Arial"/>
                <w:b/>
              </w:rPr>
              <w:t>August 2011</w:t>
            </w:r>
          </w:p>
        </w:tc>
        <w:tc>
          <w:tcPr>
            <w:tcW w:w="4252" w:type="dxa"/>
          </w:tcPr>
          <w:p w:rsidR="00A20230" w:rsidRDefault="00A20230" w:rsidP="00AB4177">
            <w:pPr>
              <w:ind w:right="-45"/>
              <w:jc w:val="right"/>
              <w:rPr>
                <w:rFonts w:ascii="Arial" w:hAnsi="Arial" w:cs="Arial"/>
              </w:rPr>
            </w:pPr>
            <w:r>
              <w:rPr>
                <w:rFonts w:ascii="Arial" w:hAnsi="Arial" w:cs="Arial"/>
              </w:rPr>
              <w:t>-8.9%</w:t>
            </w:r>
          </w:p>
        </w:tc>
      </w:tr>
    </w:tbl>
    <w:p w:rsidR="00A20230" w:rsidRPr="00C22CCC" w:rsidRDefault="00A20230" w:rsidP="00B37E35">
      <w:pPr>
        <w:rPr>
          <w:rFonts w:ascii="Arial" w:hAnsi="Arial" w:cs="Arial"/>
          <w:b/>
          <w:bCs/>
        </w:rPr>
      </w:pPr>
    </w:p>
    <w:p w:rsidR="00A20230" w:rsidRPr="00C22CCC" w:rsidRDefault="00A20230" w:rsidP="00B37E35">
      <w:pPr>
        <w:rPr>
          <w:rFonts w:ascii="Arial" w:hAnsi="Arial" w:cs="Arial"/>
        </w:rPr>
      </w:pPr>
    </w:p>
    <w:p w:rsidR="00A20230" w:rsidRDefault="00A20230" w:rsidP="00696BC4">
      <w:pPr>
        <w:rPr>
          <w:rFonts w:ascii="Arial" w:hAnsi="Arial" w:cs="Arial"/>
          <w:b/>
          <w:bCs/>
          <w:i/>
          <w:iCs/>
        </w:rPr>
      </w:pPr>
    </w:p>
    <w:p w:rsidR="00A20230" w:rsidRPr="00C22CCC" w:rsidRDefault="00A20230" w:rsidP="00696BC4">
      <w:pPr>
        <w:rPr>
          <w:rFonts w:ascii="Arial" w:hAnsi="Arial" w:cs="Arial"/>
        </w:rPr>
      </w:pPr>
      <w:r w:rsidRPr="00C22CCC">
        <w:rPr>
          <w:rFonts w:ascii="Arial" w:hAnsi="Arial" w:cs="Arial"/>
          <w:b/>
          <w:bCs/>
          <w:i/>
          <w:iCs/>
        </w:rPr>
        <w:t>Notes to Editors</w:t>
      </w:r>
      <w:r w:rsidRPr="00C22CCC">
        <w:rPr>
          <w:rFonts w:ascii="Arial" w:hAnsi="Arial" w:cs="Arial"/>
          <w:b/>
          <w:bCs/>
        </w:rPr>
        <w:t xml:space="preserve"> </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pStyle w:val="Footer"/>
        <w:rPr>
          <w:rFonts w:ascii="Arial" w:hAnsi="Arial" w:cs="Arial"/>
          <w:sz w:val="22"/>
          <w:szCs w:val="22"/>
        </w:rPr>
      </w:pPr>
      <w:r w:rsidRPr="00C22CCC">
        <w:rPr>
          <w:rFonts w:ascii="Arial" w:hAnsi="Arial" w:cs="Arial"/>
          <w:sz w:val="22"/>
          <w:szCs w:val="22"/>
        </w:rPr>
        <w:t xml:space="preserve">*The FTSE Mondo Visione Exchanges Index is compiled by FTSE Group from data based on the share price performance of listed exchanges and trading platforms.  </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b/>
          <w:bCs/>
        </w:rPr>
        <w:t>About FTSE Mondo Visione Exchanges Index</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rPr>
        <w:t xml:space="preserve">The FTSE Mondo Visione Exchanges Index, a joint venture between FTSE Group and Mondo Visione, was established in 2000. </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rPr>
        <w:t xml:space="preserve">It is the first Index in the world to focus on listed exchanges and other trading venues. The FTSE Mondo Visione Exchanges Index compares performance of individual exchanges and trading platforms and provides a reliable barometer of the health and performance of the exchange sector. </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rPr>
        <w:t xml:space="preserve">It enables investors to track 20 publicly listed exchanges and trading floors and focuses attention of the market on this important sector. </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rPr>
        <w:t>The FTSE Mondo Visione Exchanges Index includes all publicly traded stock exchanges and trading floors:</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Australian Securities Exchange Ltd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BM&amp;F Bovespa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Bolsa Mexicana de Valores SA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Bolsa y Mercado Espanoles </w:t>
      </w:r>
    </w:p>
    <w:p w:rsidR="00A20230" w:rsidRPr="00C22CCC" w:rsidRDefault="00A20230" w:rsidP="00696BC4">
      <w:pPr>
        <w:numPr>
          <w:ilvl w:val="0"/>
          <w:numId w:val="2"/>
        </w:numPr>
        <w:jc w:val="both"/>
        <w:rPr>
          <w:rFonts w:ascii="Arial" w:hAnsi="Arial" w:cs="Arial"/>
        </w:rPr>
      </w:pPr>
      <w:r w:rsidRPr="00C22CCC">
        <w:rPr>
          <w:rFonts w:ascii="Arial" w:hAnsi="Arial" w:cs="Arial"/>
        </w:rPr>
        <w:t>Bursa de Valori Bucuresti SA</w:t>
      </w:r>
    </w:p>
    <w:p w:rsidR="00A20230" w:rsidRPr="00C22CCC" w:rsidRDefault="00A20230" w:rsidP="00696BC4">
      <w:pPr>
        <w:numPr>
          <w:ilvl w:val="0"/>
          <w:numId w:val="2"/>
        </w:numPr>
        <w:jc w:val="both"/>
        <w:rPr>
          <w:rFonts w:ascii="Arial" w:hAnsi="Arial" w:cs="Arial"/>
        </w:rPr>
      </w:pPr>
      <w:smartTag w:uri="urn:schemas-microsoft-com:office:smarttags" w:element="City">
        <w:r w:rsidRPr="00C22CCC">
          <w:rPr>
            <w:rFonts w:ascii="Arial" w:hAnsi="Arial" w:cs="Arial"/>
          </w:rPr>
          <w:t>Bursa</w:t>
        </w:r>
      </w:smartTag>
      <w:r w:rsidRPr="00C22CCC">
        <w:rPr>
          <w:rFonts w:ascii="Arial" w:hAnsi="Arial" w:cs="Arial"/>
        </w:rPr>
        <w:t xml:space="preserve"> </w:t>
      </w:r>
      <w:smartTag w:uri="urn:schemas-microsoft-com:office:smarttags" w:element="City">
        <w:r w:rsidRPr="00C22CCC">
          <w:rPr>
            <w:rFonts w:ascii="Arial" w:hAnsi="Arial" w:cs="Arial"/>
          </w:rPr>
          <w:t>Malaysia</w:t>
        </w:r>
      </w:smartTag>
      <w:r w:rsidRPr="00C22CCC">
        <w:rPr>
          <w:rFonts w:ascii="Arial" w:hAnsi="Arial" w:cs="Arial"/>
        </w:rPr>
        <w:t xml:space="preserve">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CME Group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Deutsche Bourse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Hellenic Exchanges SA </w:t>
      </w:r>
    </w:p>
    <w:p w:rsidR="00A20230" w:rsidRPr="00C22CCC" w:rsidRDefault="00A20230" w:rsidP="00696BC4">
      <w:pPr>
        <w:numPr>
          <w:ilvl w:val="0"/>
          <w:numId w:val="2"/>
        </w:numPr>
        <w:jc w:val="both"/>
        <w:rPr>
          <w:rFonts w:ascii="Arial" w:hAnsi="Arial" w:cs="Arial"/>
        </w:rPr>
      </w:pPr>
      <w:smartTag w:uri="urn:schemas-microsoft-com:office:smarttags" w:element="City">
        <w:r w:rsidRPr="00C22CCC">
          <w:rPr>
            <w:rFonts w:ascii="Arial" w:hAnsi="Arial" w:cs="Arial"/>
          </w:rPr>
          <w:t>Hong Kong</w:t>
        </w:r>
      </w:smartTag>
      <w:r w:rsidRPr="00C22CCC">
        <w:rPr>
          <w:rFonts w:ascii="Arial" w:hAnsi="Arial" w:cs="Arial"/>
        </w:rPr>
        <w:t xml:space="preserve"> Exchanges and Clearing Ltd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Intercontinental Exchange Inc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Johannesburg Stock Exchange Ltd </w:t>
      </w:r>
    </w:p>
    <w:p w:rsidR="00A20230" w:rsidRPr="00C22CCC" w:rsidRDefault="00A20230" w:rsidP="00696BC4">
      <w:pPr>
        <w:numPr>
          <w:ilvl w:val="0"/>
          <w:numId w:val="2"/>
        </w:numPr>
        <w:jc w:val="both"/>
        <w:rPr>
          <w:rFonts w:ascii="Arial" w:hAnsi="Arial" w:cs="Arial"/>
        </w:rPr>
      </w:pPr>
      <w:smartTag w:uri="urn:schemas-microsoft-com:office:smarttags" w:element="City">
        <w:r w:rsidRPr="00C22CCC">
          <w:rPr>
            <w:rFonts w:ascii="Arial" w:hAnsi="Arial" w:cs="Arial"/>
          </w:rPr>
          <w:t>London</w:t>
        </w:r>
      </w:smartTag>
      <w:r w:rsidRPr="00C22CCC">
        <w:rPr>
          <w:rFonts w:ascii="Arial" w:hAnsi="Arial" w:cs="Arial"/>
        </w:rPr>
        <w:t xml:space="preserve"> Stock Exchange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NASDAQ OMX Group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New Zealand Exchange Ltd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NYSE Euronext </w:t>
      </w:r>
    </w:p>
    <w:p w:rsidR="00A20230" w:rsidRPr="00C22CCC" w:rsidRDefault="00A20230" w:rsidP="00696BC4">
      <w:pPr>
        <w:numPr>
          <w:ilvl w:val="0"/>
          <w:numId w:val="2"/>
        </w:numPr>
        <w:jc w:val="both"/>
        <w:rPr>
          <w:rFonts w:ascii="Arial" w:hAnsi="Arial" w:cs="Arial"/>
        </w:rPr>
      </w:pPr>
      <w:r w:rsidRPr="00C22CCC">
        <w:rPr>
          <w:rFonts w:ascii="Arial" w:hAnsi="Arial" w:cs="Arial"/>
          <w:color w:val="000000"/>
        </w:rPr>
        <w:t>Philippine</w:t>
      </w:r>
      <w:r w:rsidRPr="00C22CCC">
        <w:rPr>
          <w:rFonts w:ascii="Arial" w:hAnsi="Arial" w:cs="Arial"/>
        </w:rPr>
        <w:t xml:space="preserve"> Stock Exchange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Singapore Exchange Ltd </w:t>
      </w:r>
    </w:p>
    <w:p w:rsidR="00A20230" w:rsidRPr="00C22CCC" w:rsidRDefault="00A20230" w:rsidP="00696BC4">
      <w:pPr>
        <w:numPr>
          <w:ilvl w:val="0"/>
          <w:numId w:val="2"/>
        </w:numPr>
        <w:jc w:val="both"/>
        <w:rPr>
          <w:rFonts w:ascii="Arial" w:hAnsi="Arial" w:cs="Arial"/>
        </w:rPr>
      </w:pPr>
      <w:r w:rsidRPr="00C22CCC">
        <w:rPr>
          <w:rFonts w:ascii="Arial" w:hAnsi="Arial" w:cs="Arial"/>
        </w:rPr>
        <w:t xml:space="preserve">TMX Group </w:t>
      </w:r>
    </w:p>
    <w:p w:rsidR="00A20230" w:rsidRPr="00C22CCC" w:rsidRDefault="00A20230" w:rsidP="00696BC4">
      <w:pPr>
        <w:numPr>
          <w:ilvl w:val="0"/>
          <w:numId w:val="2"/>
        </w:numPr>
        <w:jc w:val="both"/>
        <w:rPr>
          <w:rFonts w:ascii="Arial" w:hAnsi="Arial" w:cs="Arial"/>
        </w:rPr>
      </w:pPr>
      <w:smartTag w:uri="urn:schemas-microsoft-com:office:smarttags" w:element="City">
        <w:r w:rsidRPr="00C22CCC">
          <w:rPr>
            <w:rFonts w:ascii="Arial" w:hAnsi="Arial" w:cs="Arial"/>
          </w:rPr>
          <w:t>Warsaw</w:t>
        </w:r>
      </w:smartTag>
      <w:r w:rsidRPr="00C22CCC">
        <w:rPr>
          <w:rFonts w:ascii="Arial" w:hAnsi="Arial" w:cs="Arial"/>
        </w:rPr>
        <w:t xml:space="preserve"> Stock Exchange</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b/>
          <w:bCs/>
        </w:rPr>
        <w:t>About Mondo Visione</w:t>
      </w:r>
    </w:p>
    <w:p w:rsidR="00A20230" w:rsidRPr="00C22CCC" w:rsidRDefault="00A20230" w:rsidP="00696BC4">
      <w:pPr>
        <w:rPr>
          <w:rFonts w:ascii="Arial" w:hAnsi="Arial" w:cs="Arial"/>
        </w:rPr>
      </w:pPr>
      <w:r w:rsidRPr="00C22CCC">
        <w:rPr>
          <w:rFonts w:ascii="Arial" w:hAnsi="Arial" w:cs="Arial"/>
        </w:rPr>
        <w:t>Mondo Visione is the leading source of insight and knowledge about the world’s exchanges and trading venues. Since 1991, Mondo Visione has provided those who operate and invest in the global markets with fast, reliable information, delivered in print and online.  The company also organises conferences and events where market professionals can share ideas and experience with their peers, regulators, system providers, academics and journalists.</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color w:val="000000"/>
        </w:rPr>
        <w:t xml:space="preserve">Mondo Visione publishes the industry-standard </w:t>
      </w:r>
      <w:r w:rsidRPr="00C22CCC">
        <w:rPr>
          <w:rFonts w:ascii="Arial" w:hAnsi="Arial" w:cs="Arial"/>
          <w:i/>
          <w:iCs/>
          <w:color w:val="000000"/>
        </w:rPr>
        <w:t>Handbook of World Stock, Derivative and Commodity Exchanges</w:t>
      </w:r>
      <w:r w:rsidRPr="00C22CCC">
        <w:rPr>
          <w:rFonts w:ascii="Arial" w:hAnsi="Arial" w:cs="Arial"/>
          <w:color w:val="000000"/>
        </w:rPr>
        <w:t>, which provides trading, settlement and organisational information for around 250 exchanges in over 100 countries. The handbook, which celebrated its 20</w:t>
      </w:r>
      <w:r w:rsidRPr="00C22CCC">
        <w:rPr>
          <w:rFonts w:ascii="Arial" w:hAnsi="Arial" w:cs="Arial"/>
          <w:color w:val="000000"/>
          <w:vertAlign w:val="superscript"/>
        </w:rPr>
        <w:t>th</w:t>
      </w:r>
      <w:r w:rsidRPr="00C22CCC">
        <w:rPr>
          <w:rFonts w:ascii="Arial" w:hAnsi="Arial" w:cs="Arial"/>
          <w:color w:val="000000"/>
        </w:rPr>
        <w:t xml:space="preserve"> year of publication in 2010, is produced annually and is available in hardcopy and online.</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i/>
          <w:iCs/>
        </w:rPr>
        <w:t>World Exchanges: Global Industry Outlook and Investment Analysis</w:t>
      </w:r>
      <w:r w:rsidRPr="00C22CCC">
        <w:rPr>
          <w:rFonts w:ascii="Arial" w:hAnsi="Arial" w:cs="Arial"/>
        </w:rPr>
        <w:t xml:space="preserve"> is a quarterly investment analysis of the listed exchanges sector and </w:t>
      </w:r>
      <w:r>
        <w:rPr>
          <w:rFonts w:ascii="Arial" w:hAnsi="Arial" w:cs="Arial"/>
        </w:rPr>
        <w:t>20</w:t>
      </w:r>
      <w:r w:rsidRPr="00C22CCC">
        <w:rPr>
          <w:rFonts w:ascii="Arial" w:hAnsi="Arial" w:cs="Arial"/>
        </w:rPr>
        <w:t xml:space="preserve"> of the leading publicly-owned exchanges from around the world. </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rPr>
        <w:t xml:space="preserve">Mondo Visione also publishes </w:t>
      </w:r>
      <w:r w:rsidRPr="00C22CCC">
        <w:rPr>
          <w:rFonts w:ascii="Arial" w:hAnsi="Arial" w:cs="Arial"/>
          <w:i/>
          <w:iCs/>
        </w:rPr>
        <w:t>Trading Places</w:t>
      </w:r>
      <w:r w:rsidRPr="00C22CCC">
        <w:rPr>
          <w:rFonts w:ascii="Arial" w:hAnsi="Arial" w:cs="Arial"/>
        </w:rPr>
        <w:t>, a monthly digest of news and comment about the global exchange industry, and together with FTSE Group owns and publishes the FTSE Mondo Visione Exchanges Index, which tracks the stock market performance of listed exchanges.</w:t>
      </w:r>
    </w:p>
    <w:p w:rsidR="00A20230" w:rsidRPr="00C22CCC" w:rsidRDefault="00A20230" w:rsidP="00696BC4">
      <w:pPr>
        <w:rPr>
          <w:rFonts w:ascii="Arial" w:hAnsi="Arial" w:cs="Arial"/>
        </w:rPr>
      </w:pPr>
      <w:r w:rsidRPr="00C22CCC">
        <w:rPr>
          <w:rFonts w:ascii="Arial" w:hAnsi="Arial" w:cs="Arial"/>
        </w:rPr>
        <w:t> </w:t>
      </w:r>
    </w:p>
    <w:p w:rsidR="00A20230" w:rsidRPr="00C22CCC" w:rsidRDefault="00A20230" w:rsidP="00696BC4">
      <w:pPr>
        <w:rPr>
          <w:rFonts w:ascii="Arial" w:hAnsi="Arial" w:cs="Arial"/>
        </w:rPr>
      </w:pPr>
      <w:r w:rsidRPr="00C22CCC">
        <w:rPr>
          <w:rFonts w:ascii="Arial" w:hAnsi="Arial" w:cs="Arial"/>
        </w:rPr>
        <w:t xml:space="preserve">For further information please visit </w:t>
      </w:r>
      <w:hyperlink r:id="rId9" w:history="1">
        <w:r w:rsidRPr="00C22CCC">
          <w:rPr>
            <w:rStyle w:val="Hyperlink"/>
            <w:rFonts w:ascii="Arial" w:hAnsi="Arial" w:cs="Arial"/>
          </w:rPr>
          <w:t>www.mondovisione.com</w:t>
        </w:r>
      </w:hyperlink>
    </w:p>
    <w:p w:rsidR="00A20230" w:rsidRPr="00C22CCC" w:rsidRDefault="00A20230">
      <w:pPr>
        <w:rPr>
          <w:rFonts w:ascii="Arial" w:hAnsi="Arial" w:cs="Arial"/>
        </w:rPr>
      </w:pPr>
    </w:p>
    <w:sectPr w:rsidR="00A20230" w:rsidRPr="00C22CCC" w:rsidSect="009A6321">
      <w:headerReference w:type="first" r:id="rId10"/>
      <w:pgSz w:w="11899" w:h="16838" w:code="9"/>
      <w:pgMar w:top="2211" w:right="1406" w:bottom="1985" w:left="1134"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230" w:rsidRDefault="00A20230" w:rsidP="00F7574C">
      <w:r>
        <w:separator/>
      </w:r>
    </w:p>
  </w:endnote>
  <w:endnote w:type="continuationSeparator" w:id="0">
    <w:p w:rsidR="00A20230" w:rsidRDefault="00A20230" w:rsidP="00F757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230" w:rsidRDefault="00A20230" w:rsidP="00F7574C">
      <w:r>
        <w:separator/>
      </w:r>
    </w:p>
  </w:footnote>
  <w:footnote w:type="continuationSeparator" w:id="0">
    <w:p w:rsidR="00A20230" w:rsidRDefault="00A20230" w:rsidP="00F757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230" w:rsidRDefault="00A202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49" type="#_x0000_t75" alt="MV_logo_lockup_RGB 3COL.jpg" style="position:absolute;margin-left:-37.95pt;margin-top:-81.3pt;width:168pt;height:70.5pt;z-index:251660288;visibility:visible;mso-position-horizontal-relative:margin;mso-position-vertical-relative:margin">
          <v:imagedata r:id="rId1" o:title=""/>
          <w10:wrap type="square"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325F"/>
    <w:multiLevelType w:val="hybridMultilevel"/>
    <w:tmpl w:val="E644653A"/>
    <w:lvl w:ilvl="0" w:tplc="EB583BD6">
      <w:start w:val="10"/>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52B41"/>
    <w:multiLevelType w:val="multilevel"/>
    <w:tmpl w:val="551458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20A46529"/>
    <w:multiLevelType w:val="multilevel"/>
    <w:tmpl w:val="40103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591E2C41"/>
    <w:multiLevelType w:val="hybridMultilevel"/>
    <w:tmpl w:val="0B92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5D759D"/>
    <w:multiLevelType w:val="hybridMultilevel"/>
    <w:tmpl w:val="AD842C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0"/>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E35"/>
    <w:rsid w:val="00001AFF"/>
    <w:rsid w:val="00007D0C"/>
    <w:rsid w:val="00013A02"/>
    <w:rsid w:val="000309C9"/>
    <w:rsid w:val="000448D6"/>
    <w:rsid w:val="000465AB"/>
    <w:rsid w:val="00046768"/>
    <w:rsid w:val="0004714E"/>
    <w:rsid w:val="000561DB"/>
    <w:rsid w:val="00086B49"/>
    <w:rsid w:val="000925A7"/>
    <w:rsid w:val="00096445"/>
    <w:rsid w:val="000A1C59"/>
    <w:rsid w:val="000D380E"/>
    <w:rsid w:val="000D61A7"/>
    <w:rsid w:val="000F1D10"/>
    <w:rsid w:val="000F2E52"/>
    <w:rsid w:val="0012546B"/>
    <w:rsid w:val="00137057"/>
    <w:rsid w:val="00137104"/>
    <w:rsid w:val="00144DD3"/>
    <w:rsid w:val="001455E7"/>
    <w:rsid w:val="0015126B"/>
    <w:rsid w:val="00151F66"/>
    <w:rsid w:val="001573CD"/>
    <w:rsid w:val="00167FD4"/>
    <w:rsid w:val="00172871"/>
    <w:rsid w:val="001827EF"/>
    <w:rsid w:val="00185D1A"/>
    <w:rsid w:val="00186139"/>
    <w:rsid w:val="001A0233"/>
    <w:rsid w:val="001A0FDE"/>
    <w:rsid w:val="001A4620"/>
    <w:rsid w:val="001D1E2C"/>
    <w:rsid w:val="001D2C53"/>
    <w:rsid w:val="001D537E"/>
    <w:rsid w:val="001F73D3"/>
    <w:rsid w:val="00207179"/>
    <w:rsid w:val="00212AFB"/>
    <w:rsid w:val="00234C04"/>
    <w:rsid w:val="00254047"/>
    <w:rsid w:val="00254D18"/>
    <w:rsid w:val="00264358"/>
    <w:rsid w:val="00266735"/>
    <w:rsid w:val="0026689B"/>
    <w:rsid w:val="00273917"/>
    <w:rsid w:val="0028380B"/>
    <w:rsid w:val="00293759"/>
    <w:rsid w:val="0029536B"/>
    <w:rsid w:val="002A22B1"/>
    <w:rsid w:val="002A5B8D"/>
    <w:rsid w:val="002B415D"/>
    <w:rsid w:val="002E20ED"/>
    <w:rsid w:val="002E59AE"/>
    <w:rsid w:val="002E75AF"/>
    <w:rsid w:val="002F6098"/>
    <w:rsid w:val="00320A31"/>
    <w:rsid w:val="00324BFE"/>
    <w:rsid w:val="0033455A"/>
    <w:rsid w:val="00337E5D"/>
    <w:rsid w:val="00372424"/>
    <w:rsid w:val="003778D0"/>
    <w:rsid w:val="00382F4B"/>
    <w:rsid w:val="003A5D5E"/>
    <w:rsid w:val="003D3173"/>
    <w:rsid w:val="003E042E"/>
    <w:rsid w:val="004045FD"/>
    <w:rsid w:val="00406CB9"/>
    <w:rsid w:val="004102F5"/>
    <w:rsid w:val="00411640"/>
    <w:rsid w:val="00412F10"/>
    <w:rsid w:val="00435AB3"/>
    <w:rsid w:val="004408A0"/>
    <w:rsid w:val="00447C5C"/>
    <w:rsid w:val="004500B3"/>
    <w:rsid w:val="00461C62"/>
    <w:rsid w:val="004666D8"/>
    <w:rsid w:val="00467645"/>
    <w:rsid w:val="00487EF5"/>
    <w:rsid w:val="00491287"/>
    <w:rsid w:val="004B51EC"/>
    <w:rsid w:val="00500AD9"/>
    <w:rsid w:val="00506CDB"/>
    <w:rsid w:val="00533091"/>
    <w:rsid w:val="005367E7"/>
    <w:rsid w:val="00537419"/>
    <w:rsid w:val="00562478"/>
    <w:rsid w:val="00571F5A"/>
    <w:rsid w:val="00573872"/>
    <w:rsid w:val="005813EE"/>
    <w:rsid w:val="00583A66"/>
    <w:rsid w:val="00584A9A"/>
    <w:rsid w:val="00590A41"/>
    <w:rsid w:val="005C52B3"/>
    <w:rsid w:val="005C6966"/>
    <w:rsid w:val="005C7129"/>
    <w:rsid w:val="005D2C1B"/>
    <w:rsid w:val="005E00AA"/>
    <w:rsid w:val="00614457"/>
    <w:rsid w:val="00644DA6"/>
    <w:rsid w:val="006525CA"/>
    <w:rsid w:val="00665B04"/>
    <w:rsid w:val="00677FA5"/>
    <w:rsid w:val="00681EAA"/>
    <w:rsid w:val="00681F81"/>
    <w:rsid w:val="006862BB"/>
    <w:rsid w:val="006911AC"/>
    <w:rsid w:val="00696BC4"/>
    <w:rsid w:val="006A324A"/>
    <w:rsid w:val="006B0137"/>
    <w:rsid w:val="006B3755"/>
    <w:rsid w:val="006C33CC"/>
    <w:rsid w:val="006C7127"/>
    <w:rsid w:val="006C769B"/>
    <w:rsid w:val="006D501E"/>
    <w:rsid w:val="006E4542"/>
    <w:rsid w:val="006F0803"/>
    <w:rsid w:val="006F20E7"/>
    <w:rsid w:val="007111F4"/>
    <w:rsid w:val="00735175"/>
    <w:rsid w:val="00741B43"/>
    <w:rsid w:val="00753EBD"/>
    <w:rsid w:val="00763EB1"/>
    <w:rsid w:val="00797442"/>
    <w:rsid w:val="007B6EA3"/>
    <w:rsid w:val="007C3A53"/>
    <w:rsid w:val="007C3BE5"/>
    <w:rsid w:val="007C501A"/>
    <w:rsid w:val="007D122D"/>
    <w:rsid w:val="007D4372"/>
    <w:rsid w:val="007F37A3"/>
    <w:rsid w:val="00830B23"/>
    <w:rsid w:val="00830E73"/>
    <w:rsid w:val="00836B01"/>
    <w:rsid w:val="00847558"/>
    <w:rsid w:val="0085509F"/>
    <w:rsid w:val="00856FBF"/>
    <w:rsid w:val="00860A1F"/>
    <w:rsid w:val="00865AFE"/>
    <w:rsid w:val="00867EE9"/>
    <w:rsid w:val="00881E27"/>
    <w:rsid w:val="008A0F8C"/>
    <w:rsid w:val="008A1AAF"/>
    <w:rsid w:val="008B1CC0"/>
    <w:rsid w:val="008D7F41"/>
    <w:rsid w:val="00935D43"/>
    <w:rsid w:val="009544FD"/>
    <w:rsid w:val="00965C19"/>
    <w:rsid w:val="00967085"/>
    <w:rsid w:val="00973AE2"/>
    <w:rsid w:val="00977A40"/>
    <w:rsid w:val="009A6321"/>
    <w:rsid w:val="009D03C3"/>
    <w:rsid w:val="00A032FC"/>
    <w:rsid w:val="00A11C94"/>
    <w:rsid w:val="00A166BC"/>
    <w:rsid w:val="00A20230"/>
    <w:rsid w:val="00A373E2"/>
    <w:rsid w:val="00A41686"/>
    <w:rsid w:val="00A43A3B"/>
    <w:rsid w:val="00A56D80"/>
    <w:rsid w:val="00A61059"/>
    <w:rsid w:val="00A70130"/>
    <w:rsid w:val="00A71104"/>
    <w:rsid w:val="00A87A4E"/>
    <w:rsid w:val="00A91740"/>
    <w:rsid w:val="00A95EC9"/>
    <w:rsid w:val="00A962A2"/>
    <w:rsid w:val="00A97EF4"/>
    <w:rsid w:val="00AB4177"/>
    <w:rsid w:val="00AC4DB5"/>
    <w:rsid w:val="00AC63EC"/>
    <w:rsid w:val="00AD2532"/>
    <w:rsid w:val="00AD2E53"/>
    <w:rsid w:val="00AD64A9"/>
    <w:rsid w:val="00AE47FE"/>
    <w:rsid w:val="00B17432"/>
    <w:rsid w:val="00B30719"/>
    <w:rsid w:val="00B319E8"/>
    <w:rsid w:val="00B37E35"/>
    <w:rsid w:val="00B43E85"/>
    <w:rsid w:val="00B4426B"/>
    <w:rsid w:val="00B733D9"/>
    <w:rsid w:val="00B75BFF"/>
    <w:rsid w:val="00B830F6"/>
    <w:rsid w:val="00B83C8B"/>
    <w:rsid w:val="00B922FA"/>
    <w:rsid w:val="00BA5FC4"/>
    <w:rsid w:val="00BB1A2F"/>
    <w:rsid w:val="00BC3CA4"/>
    <w:rsid w:val="00BC498E"/>
    <w:rsid w:val="00BC7276"/>
    <w:rsid w:val="00BD3762"/>
    <w:rsid w:val="00BD5E80"/>
    <w:rsid w:val="00BE6A7E"/>
    <w:rsid w:val="00BF36FA"/>
    <w:rsid w:val="00BF7B76"/>
    <w:rsid w:val="00C15D64"/>
    <w:rsid w:val="00C1746F"/>
    <w:rsid w:val="00C22CCC"/>
    <w:rsid w:val="00C32465"/>
    <w:rsid w:val="00C41CF3"/>
    <w:rsid w:val="00C47674"/>
    <w:rsid w:val="00C54FB0"/>
    <w:rsid w:val="00C63424"/>
    <w:rsid w:val="00C806BE"/>
    <w:rsid w:val="00C93080"/>
    <w:rsid w:val="00C938DD"/>
    <w:rsid w:val="00CA1BBB"/>
    <w:rsid w:val="00CA7D5E"/>
    <w:rsid w:val="00CA7FCA"/>
    <w:rsid w:val="00CB5DBD"/>
    <w:rsid w:val="00CC068D"/>
    <w:rsid w:val="00CC0C48"/>
    <w:rsid w:val="00CD2D00"/>
    <w:rsid w:val="00CD4B6A"/>
    <w:rsid w:val="00CF0DD4"/>
    <w:rsid w:val="00D019B7"/>
    <w:rsid w:val="00D01B3B"/>
    <w:rsid w:val="00D250D5"/>
    <w:rsid w:val="00D60954"/>
    <w:rsid w:val="00D621A6"/>
    <w:rsid w:val="00D66D2E"/>
    <w:rsid w:val="00D719DB"/>
    <w:rsid w:val="00D7777D"/>
    <w:rsid w:val="00D86384"/>
    <w:rsid w:val="00D94DC2"/>
    <w:rsid w:val="00DB1789"/>
    <w:rsid w:val="00DB2EEE"/>
    <w:rsid w:val="00DC5A40"/>
    <w:rsid w:val="00DF5E32"/>
    <w:rsid w:val="00DF64F1"/>
    <w:rsid w:val="00E128DB"/>
    <w:rsid w:val="00E254EA"/>
    <w:rsid w:val="00E26F2D"/>
    <w:rsid w:val="00E31038"/>
    <w:rsid w:val="00E4407A"/>
    <w:rsid w:val="00E50083"/>
    <w:rsid w:val="00E62D04"/>
    <w:rsid w:val="00E83BD8"/>
    <w:rsid w:val="00E8513C"/>
    <w:rsid w:val="00EB72E4"/>
    <w:rsid w:val="00EC4969"/>
    <w:rsid w:val="00EF5B90"/>
    <w:rsid w:val="00EF5BDD"/>
    <w:rsid w:val="00F04F85"/>
    <w:rsid w:val="00F06DBD"/>
    <w:rsid w:val="00F14ECE"/>
    <w:rsid w:val="00F15BD6"/>
    <w:rsid w:val="00F17844"/>
    <w:rsid w:val="00F45C59"/>
    <w:rsid w:val="00F650A1"/>
    <w:rsid w:val="00F71916"/>
    <w:rsid w:val="00F7574C"/>
    <w:rsid w:val="00F9516F"/>
    <w:rsid w:val="00FB57BF"/>
    <w:rsid w:val="00FB6704"/>
    <w:rsid w:val="00FC2ED3"/>
    <w:rsid w:val="00FC7313"/>
    <w:rsid w:val="00FD66D5"/>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E35"/>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7E35"/>
    <w:rPr>
      <w:rFonts w:cs="Times New Roman"/>
      <w:color w:val="0000FF"/>
      <w:u w:val="single"/>
    </w:rPr>
  </w:style>
  <w:style w:type="paragraph" w:styleId="Footer">
    <w:name w:val="footer"/>
    <w:basedOn w:val="Normal"/>
    <w:link w:val="FooterChar"/>
    <w:uiPriority w:val="99"/>
    <w:semiHidden/>
    <w:rsid w:val="00B37E35"/>
    <w:pPr>
      <w:jc w:val="both"/>
    </w:pPr>
    <w:rPr>
      <w:rFonts w:ascii="Tahoma" w:hAnsi="Tahoma" w:cs="Tahoma"/>
      <w:sz w:val="20"/>
      <w:szCs w:val="20"/>
    </w:rPr>
  </w:style>
  <w:style w:type="character" w:customStyle="1" w:styleId="FooterChar">
    <w:name w:val="Footer Char"/>
    <w:basedOn w:val="DefaultParagraphFont"/>
    <w:link w:val="Footer"/>
    <w:uiPriority w:val="99"/>
    <w:semiHidden/>
    <w:locked/>
    <w:rsid w:val="00B37E35"/>
    <w:rPr>
      <w:rFonts w:ascii="Tahoma" w:hAnsi="Tahoma" w:cs="Tahoma"/>
      <w:sz w:val="20"/>
      <w:szCs w:val="20"/>
      <w:lang w:eastAsia="en-GB"/>
    </w:rPr>
  </w:style>
  <w:style w:type="paragraph" w:styleId="BodyText">
    <w:name w:val="Body Text"/>
    <w:basedOn w:val="Normal"/>
    <w:link w:val="BodyTextChar"/>
    <w:uiPriority w:val="99"/>
    <w:rsid w:val="00B37E35"/>
    <w:pPr>
      <w:jc w:val="both"/>
    </w:pPr>
    <w:rPr>
      <w:rFonts w:ascii="Tahoma" w:hAnsi="Tahoma" w:cs="Tahoma"/>
      <w:sz w:val="18"/>
      <w:szCs w:val="18"/>
    </w:rPr>
  </w:style>
  <w:style w:type="character" w:customStyle="1" w:styleId="BodyTextChar">
    <w:name w:val="Body Text Char"/>
    <w:basedOn w:val="DefaultParagraphFont"/>
    <w:link w:val="BodyText"/>
    <w:uiPriority w:val="99"/>
    <w:locked/>
    <w:rsid w:val="00B37E35"/>
    <w:rPr>
      <w:rFonts w:ascii="Tahoma" w:hAnsi="Tahoma" w:cs="Tahoma"/>
      <w:sz w:val="18"/>
      <w:szCs w:val="18"/>
      <w:lang w:eastAsia="en-GB"/>
    </w:rPr>
  </w:style>
  <w:style w:type="paragraph" w:styleId="ListParagraph">
    <w:name w:val="List Paragraph"/>
    <w:basedOn w:val="Normal"/>
    <w:uiPriority w:val="99"/>
    <w:qFormat/>
    <w:rsid w:val="00B37E35"/>
    <w:pPr>
      <w:ind w:left="720"/>
      <w:jc w:val="both"/>
    </w:pPr>
    <w:rPr>
      <w:rFonts w:ascii="Tahoma" w:hAnsi="Tahoma" w:cs="Tahoma"/>
      <w:sz w:val="20"/>
      <w:szCs w:val="20"/>
    </w:rPr>
  </w:style>
  <w:style w:type="paragraph" w:customStyle="1" w:styleId="NormalLinespacing15lines">
    <w:name w:val="Normal + Line spacing:  1.5 lines"/>
    <w:basedOn w:val="Normal"/>
    <w:uiPriority w:val="99"/>
    <w:rsid w:val="00B37E35"/>
    <w:pPr>
      <w:spacing w:line="360" w:lineRule="auto"/>
      <w:jc w:val="both"/>
    </w:pPr>
    <w:rPr>
      <w:rFonts w:ascii="Tahoma" w:hAnsi="Tahoma" w:cs="Tahoma"/>
      <w:sz w:val="20"/>
      <w:szCs w:val="20"/>
    </w:rPr>
  </w:style>
  <w:style w:type="character" w:styleId="CommentReference">
    <w:name w:val="annotation reference"/>
    <w:basedOn w:val="DefaultParagraphFont"/>
    <w:uiPriority w:val="99"/>
    <w:semiHidden/>
    <w:rsid w:val="00B37E35"/>
    <w:rPr>
      <w:rFonts w:cs="Times New Roman"/>
      <w:sz w:val="16"/>
      <w:szCs w:val="16"/>
    </w:rPr>
  </w:style>
  <w:style w:type="paragraph" w:styleId="CommentText">
    <w:name w:val="annotation text"/>
    <w:basedOn w:val="Normal"/>
    <w:link w:val="CommentTextChar"/>
    <w:uiPriority w:val="99"/>
    <w:semiHidden/>
    <w:rsid w:val="00B37E35"/>
    <w:rPr>
      <w:sz w:val="20"/>
      <w:szCs w:val="20"/>
    </w:rPr>
  </w:style>
  <w:style w:type="character" w:customStyle="1" w:styleId="CommentTextChar">
    <w:name w:val="Comment Text Char"/>
    <w:basedOn w:val="DefaultParagraphFont"/>
    <w:link w:val="CommentText"/>
    <w:uiPriority w:val="99"/>
    <w:semiHidden/>
    <w:locked/>
    <w:rsid w:val="00B37E35"/>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rsid w:val="00B37E35"/>
    <w:rPr>
      <w:b/>
      <w:bCs/>
    </w:rPr>
  </w:style>
  <w:style w:type="character" w:customStyle="1" w:styleId="CommentSubjectChar">
    <w:name w:val="Comment Subject Char"/>
    <w:basedOn w:val="CommentTextChar"/>
    <w:link w:val="CommentSubject"/>
    <w:uiPriority w:val="99"/>
    <w:semiHidden/>
    <w:locked/>
    <w:rsid w:val="00B37E35"/>
    <w:rPr>
      <w:b/>
      <w:bCs/>
    </w:rPr>
  </w:style>
  <w:style w:type="paragraph" w:styleId="BalloonText">
    <w:name w:val="Balloon Text"/>
    <w:basedOn w:val="Normal"/>
    <w:link w:val="BalloonTextChar"/>
    <w:uiPriority w:val="99"/>
    <w:semiHidden/>
    <w:rsid w:val="00B37E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7E35"/>
    <w:rPr>
      <w:rFonts w:ascii="Tahoma" w:hAnsi="Tahoma" w:cs="Tahoma"/>
      <w:sz w:val="16"/>
      <w:szCs w:val="16"/>
      <w:lang w:eastAsia="en-GB"/>
    </w:rPr>
  </w:style>
  <w:style w:type="character" w:customStyle="1" w:styleId="apple-style-span">
    <w:name w:val="apple-style-span"/>
    <w:basedOn w:val="DefaultParagraphFont"/>
    <w:uiPriority w:val="99"/>
    <w:rsid w:val="00C22CCC"/>
    <w:rPr>
      <w:rFonts w:cs="Times New Roman"/>
    </w:rPr>
  </w:style>
  <w:style w:type="character" w:customStyle="1" w:styleId="apple-converted-space">
    <w:name w:val="apple-converted-space"/>
    <w:basedOn w:val="DefaultParagraphFont"/>
    <w:uiPriority w:val="99"/>
    <w:rsid w:val="00C22CCC"/>
    <w:rPr>
      <w:rFonts w:cs="Times New Roman"/>
    </w:rPr>
  </w:style>
  <w:style w:type="paragraph" w:styleId="NormalWeb">
    <w:name w:val="Normal (Web)"/>
    <w:basedOn w:val="Normal"/>
    <w:uiPriority w:val="99"/>
    <w:semiHidden/>
    <w:rsid w:val="00F71916"/>
    <w:pPr>
      <w:spacing w:before="100" w:beforeAutospacing="1" w:after="100" w:afterAutospacing="1"/>
    </w:pPr>
    <w:rPr>
      <w:rFonts w:ascii="Times New Roman" w:hAnsi="Times New Roman"/>
      <w:sz w:val="24"/>
      <w:szCs w:val="24"/>
    </w:rPr>
  </w:style>
  <w:style w:type="character" w:customStyle="1" w:styleId="mceitemhidden">
    <w:name w:val="mceitemhidden"/>
    <w:basedOn w:val="DefaultParagraphFont"/>
    <w:uiPriority w:val="99"/>
    <w:rsid w:val="00F71916"/>
    <w:rPr>
      <w:rFonts w:cs="Times New Roman"/>
    </w:rPr>
  </w:style>
  <w:style w:type="paragraph" w:styleId="Header">
    <w:name w:val="header"/>
    <w:basedOn w:val="Normal"/>
    <w:link w:val="HeaderChar"/>
    <w:uiPriority w:val="99"/>
    <w:semiHidden/>
    <w:rsid w:val="00F7574C"/>
    <w:pPr>
      <w:tabs>
        <w:tab w:val="center" w:pos="4513"/>
        <w:tab w:val="right" w:pos="9026"/>
      </w:tabs>
    </w:pPr>
  </w:style>
  <w:style w:type="character" w:customStyle="1" w:styleId="HeaderChar">
    <w:name w:val="Header Char"/>
    <w:basedOn w:val="DefaultParagraphFont"/>
    <w:link w:val="Header"/>
    <w:uiPriority w:val="99"/>
    <w:semiHidden/>
    <w:locked/>
    <w:rsid w:val="00F7574C"/>
    <w:rPr>
      <w:rFonts w:cs="Times New Roman"/>
    </w:rPr>
  </w:style>
</w:styles>
</file>

<file path=word/webSettings.xml><?xml version="1.0" encoding="utf-8"?>
<w:webSettings xmlns:r="http://schemas.openxmlformats.org/officeDocument/2006/relationships" xmlns:w="http://schemas.openxmlformats.org/wordprocessingml/2006/main">
  <w:divs>
    <w:div w:id="227112406">
      <w:marLeft w:val="0"/>
      <w:marRight w:val="0"/>
      <w:marTop w:val="0"/>
      <w:marBottom w:val="0"/>
      <w:divBdr>
        <w:top w:val="none" w:sz="0" w:space="0" w:color="auto"/>
        <w:left w:val="none" w:sz="0" w:space="0" w:color="auto"/>
        <w:bottom w:val="none" w:sz="0" w:space="0" w:color="auto"/>
        <w:right w:val="none" w:sz="0" w:space="0" w:color="auto"/>
      </w:divBdr>
    </w:div>
    <w:div w:id="227112407">
      <w:marLeft w:val="0"/>
      <w:marRight w:val="0"/>
      <w:marTop w:val="0"/>
      <w:marBottom w:val="0"/>
      <w:divBdr>
        <w:top w:val="none" w:sz="0" w:space="0" w:color="auto"/>
        <w:left w:val="none" w:sz="0" w:space="0" w:color="auto"/>
        <w:bottom w:val="none" w:sz="0" w:space="0" w:color="auto"/>
        <w:right w:val="none" w:sz="0" w:space="0" w:color="auto"/>
      </w:divBdr>
    </w:div>
    <w:div w:id="227112408">
      <w:marLeft w:val="0"/>
      <w:marRight w:val="0"/>
      <w:marTop w:val="0"/>
      <w:marBottom w:val="0"/>
      <w:divBdr>
        <w:top w:val="none" w:sz="0" w:space="0" w:color="auto"/>
        <w:left w:val="none" w:sz="0" w:space="0" w:color="auto"/>
        <w:bottom w:val="none" w:sz="0" w:space="0" w:color="auto"/>
        <w:right w:val="none" w:sz="0" w:space="0" w:color="auto"/>
      </w:divBdr>
    </w:div>
    <w:div w:id="227112409">
      <w:marLeft w:val="0"/>
      <w:marRight w:val="0"/>
      <w:marTop w:val="0"/>
      <w:marBottom w:val="0"/>
      <w:divBdr>
        <w:top w:val="none" w:sz="0" w:space="0" w:color="auto"/>
        <w:left w:val="none" w:sz="0" w:space="0" w:color="auto"/>
        <w:bottom w:val="none" w:sz="0" w:space="0" w:color="auto"/>
        <w:right w:val="none" w:sz="0" w:space="0" w:color="auto"/>
      </w:divBdr>
    </w:div>
    <w:div w:id="227112410">
      <w:marLeft w:val="0"/>
      <w:marRight w:val="0"/>
      <w:marTop w:val="0"/>
      <w:marBottom w:val="0"/>
      <w:divBdr>
        <w:top w:val="none" w:sz="0" w:space="0" w:color="auto"/>
        <w:left w:val="none" w:sz="0" w:space="0" w:color="auto"/>
        <w:bottom w:val="none" w:sz="0" w:space="0" w:color="auto"/>
        <w:right w:val="none" w:sz="0" w:space="0" w:color="auto"/>
      </w:divBdr>
    </w:div>
    <w:div w:id="227112411">
      <w:marLeft w:val="0"/>
      <w:marRight w:val="0"/>
      <w:marTop w:val="0"/>
      <w:marBottom w:val="0"/>
      <w:divBdr>
        <w:top w:val="none" w:sz="0" w:space="0" w:color="auto"/>
        <w:left w:val="none" w:sz="0" w:space="0" w:color="auto"/>
        <w:bottom w:val="none" w:sz="0" w:space="0" w:color="auto"/>
        <w:right w:val="none" w:sz="0" w:space="0" w:color="auto"/>
      </w:divBdr>
    </w:div>
    <w:div w:id="227112412">
      <w:marLeft w:val="0"/>
      <w:marRight w:val="0"/>
      <w:marTop w:val="0"/>
      <w:marBottom w:val="0"/>
      <w:divBdr>
        <w:top w:val="none" w:sz="0" w:space="0" w:color="auto"/>
        <w:left w:val="none" w:sz="0" w:space="0" w:color="auto"/>
        <w:bottom w:val="none" w:sz="0" w:space="0" w:color="auto"/>
        <w:right w:val="none" w:sz="0" w:space="0" w:color="auto"/>
      </w:divBdr>
    </w:div>
    <w:div w:id="227112413">
      <w:marLeft w:val="0"/>
      <w:marRight w:val="0"/>
      <w:marTop w:val="0"/>
      <w:marBottom w:val="0"/>
      <w:divBdr>
        <w:top w:val="none" w:sz="0" w:space="0" w:color="auto"/>
        <w:left w:val="none" w:sz="0" w:space="0" w:color="auto"/>
        <w:bottom w:val="none" w:sz="0" w:space="0" w:color="auto"/>
        <w:right w:val="none" w:sz="0" w:space="0" w:color="auto"/>
      </w:divBdr>
    </w:div>
    <w:div w:id="227112414">
      <w:marLeft w:val="0"/>
      <w:marRight w:val="0"/>
      <w:marTop w:val="0"/>
      <w:marBottom w:val="0"/>
      <w:divBdr>
        <w:top w:val="none" w:sz="0" w:space="0" w:color="auto"/>
        <w:left w:val="none" w:sz="0" w:space="0" w:color="auto"/>
        <w:bottom w:val="none" w:sz="0" w:space="0" w:color="auto"/>
        <w:right w:val="none" w:sz="0" w:space="0" w:color="auto"/>
      </w:divBdr>
    </w:div>
    <w:div w:id="227112415">
      <w:marLeft w:val="0"/>
      <w:marRight w:val="0"/>
      <w:marTop w:val="0"/>
      <w:marBottom w:val="0"/>
      <w:divBdr>
        <w:top w:val="none" w:sz="0" w:space="0" w:color="auto"/>
        <w:left w:val="none" w:sz="0" w:space="0" w:color="auto"/>
        <w:bottom w:val="none" w:sz="0" w:space="0" w:color="auto"/>
        <w:right w:val="none" w:sz="0" w:space="0" w:color="auto"/>
      </w:divBdr>
    </w:div>
    <w:div w:id="227112416">
      <w:marLeft w:val="0"/>
      <w:marRight w:val="0"/>
      <w:marTop w:val="0"/>
      <w:marBottom w:val="0"/>
      <w:divBdr>
        <w:top w:val="none" w:sz="0" w:space="0" w:color="auto"/>
        <w:left w:val="none" w:sz="0" w:space="0" w:color="auto"/>
        <w:bottom w:val="none" w:sz="0" w:space="0" w:color="auto"/>
        <w:right w:val="none" w:sz="0" w:space="0" w:color="auto"/>
      </w:divBdr>
    </w:div>
    <w:div w:id="227112417">
      <w:marLeft w:val="0"/>
      <w:marRight w:val="0"/>
      <w:marTop w:val="0"/>
      <w:marBottom w:val="0"/>
      <w:divBdr>
        <w:top w:val="none" w:sz="0" w:space="0" w:color="auto"/>
        <w:left w:val="none" w:sz="0" w:space="0" w:color="auto"/>
        <w:bottom w:val="none" w:sz="0" w:space="0" w:color="auto"/>
        <w:right w:val="none" w:sz="0" w:space="0" w:color="auto"/>
      </w:divBdr>
    </w:div>
    <w:div w:id="227112418">
      <w:marLeft w:val="0"/>
      <w:marRight w:val="0"/>
      <w:marTop w:val="0"/>
      <w:marBottom w:val="0"/>
      <w:divBdr>
        <w:top w:val="none" w:sz="0" w:space="0" w:color="auto"/>
        <w:left w:val="none" w:sz="0" w:space="0" w:color="auto"/>
        <w:bottom w:val="none" w:sz="0" w:space="0" w:color="auto"/>
        <w:right w:val="none" w:sz="0" w:space="0" w:color="auto"/>
      </w:divBdr>
    </w:div>
    <w:div w:id="227112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linda.Leslie@waituicomms.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dovisio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Pages>
  <Words>761</Words>
  <Characters>4338</Characters>
  <Application>Microsoft Office Outlook</Application>
  <DocSecurity>0</DocSecurity>
  <Lines>0</Lines>
  <Paragraphs>0</Paragraphs>
  <ScaleCrop>false</ScaleCrop>
  <Company>Fleishman Hillard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17 January 2011</dc:title>
  <dc:subject/>
  <dc:creator>warburte</dc:creator>
  <cp:keywords/>
  <dc:description/>
  <cp:lastModifiedBy>Herbie Skeete</cp:lastModifiedBy>
  <cp:revision>2</cp:revision>
  <cp:lastPrinted>2011-09-19T22:22:00Z</cp:lastPrinted>
  <dcterms:created xsi:type="dcterms:W3CDTF">2011-09-20T20:42:00Z</dcterms:created>
  <dcterms:modified xsi:type="dcterms:W3CDTF">2011-09-20T20:42:00Z</dcterms:modified>
</cp:coreProperties>
</file>